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3A" w:rsidRDefault="00D51D3A"/>
    <w:tbl>
      <w:tblPr>
        <w:tblW w:w="0" w:type="auto"/>
        <w:jc w:val="center"/>
        <w:tblLayout w:type="fixed"/>
        <w:tblLook w:val="04A0"/>
      </w:tblPr>
      <w:tblGrid>
        <w:gridCol w:w="8834"/>
      </w:tblGrid>
      <w:tr w:rsidR="00D51D3A">
        <w:trPr>
          <w:trHeight w:val="1804"/>
          <w:jc w:val="center"/>
        </w:trPr>
        <w:tc>
          <w:tcPr>
            <w:tcW w:w="8834" w:type="dxa"/>
            <w:vAlign w:val="center"/>
          </w:tcPr>
          <w:p w:rsidR="00D51D3A" w:rsidRDefault="00D51D3A">
            <w:pPr>
              <w:keepNext/>
              <w:keepLines/>
              <w:spacing w:before="280" w:after="290" w:line="372" w:lineRule="auto"/>
              <w:outlineLvl w:val="3"/>
              <w:rPr>
                <w:rFonts w:ascii="DejaVu Sans" w:eastAsia="方正黑体_GBK" w:hAnsi="DejaVu Sans"/>
                <w:sz w:val="32"/>
              </w:rPr>
            </w:pPr>
          </w:p>
        </w:tc>
      </w:tr>
      <w:tr w:rsidR="00D51D3A">
        <w:trPr>
          <w:trHeight w:val="1804"/>
          <w:jc w:val="center"/>
        </w:trPr>
        <w:tc>
          <w:tcPr>
            <w:tcW w:w="8834" w:type="dxa"/>
            <w:vAlign w:val="center"/>
          </w:tcPr>
          <w:p w:rsidR="00D51D3A" w:rsidRDefault="00D51D3A">
            <w:pPr>
              <w:keepNext/>
              <w:keepLines/>
              <w:spacing w:before="280" w:after="290" w:line="372" w:lineRule="auto"/>
              <w:outlineLvl w:val="3"/>
              <w:rPr>
                <w:rFonts w:ascii="DejaVu Sans" w:eastAsia="方正黑体_GBK" w:hAnsi="DejaVu Sans"/>
                <w:sz w:val="32"/>
              </w:rPr>
            </w:pPr>
          </w:p>
        </w:tc>
      </w:tr>
      <w:tr w:rsidR="00D51D3A">
        <w:trPr>
          <w:trHeight w:hRule="exact" w:val="1588"/>
          <w:jc w:val="center"/>
        </w:trPr>
        <w:tc>
          <w:tcPr>
            <w:tcW w:w="8834" w:type="dxa"/>
            <w:vAlign w:val="bottom"/>
          </w:tcPr>
          <w:p w:rsidR="00D51D3A" w:rsidRDefault="00854E66" w:rsidP="00D9251C">
            <w:pPr>
              <w:autoSpaceDE w:val="0"/>
              <w:autoSpaceDN w:val="0"/>
              <w:adjustRightInd w:val="0"/>
              <w:spacing w:line="360" w:lineRule="auto"/>
              <w:jc w:val="center"/>
              <w:rPr>
                <w:rFonts w:ascii="Times New Roman" w:eastAsia="黑体" w:hAnsi="Times New Roman" w:cs="宋体"/>
                <w:b/>
                <w:color w:val="000000"/>
                <w:sz w:val="44"/>
                <w:szCs w:val="44"/>
              </w:rPr>
            </w:pPr>
            <w:r w:rsidRPr="00854E66">
              <w:rPr>
                <w:rFonts w:ascii="Times New Roman" w:eastAsia="黑体" w:hAnsi="Times New Roman" w:cs="宋体"/>
                <w:color w:val="000000"/>
                <w:sz w:val="48"/>
                <w:szCs w:val="48"/>
              </w:rPr>
              <w:t>《铁路旅客车站基坑工程安全监测与评估技术标准</w:t>
            </w:r>
            <w:r w:rsidR="00D9251C">
              <w:rPr>
                <w:rFonts w:ascii="Times New Roman" w:eastAsia="黑体" w:hAnsi="Times New Roman" w:cs="宋体" w:hint="eastAsia"/>
                <w:color w:val="000000"/>
                <w:sz w:val="48"/>
                <w:szCs w:val="48"/>
              </w:rPr>
              <w:t>（征求意见稿）</w:t>
            </w:r>
            <w:r w:rsidRPr="00854E66">
              <w:rPr>
                <w:rFonts w:ascii="Times New Roman" w:eastAsia="黑体" w:hAnsi="Times New Roman" w:cs="宋体"/>
                <w:color w:val="000000"/>
                <w:sz w:val="48"/>
                <w:szCs w:val="48"/>
              </w:rPr>
              <w:t>》</w:t>
            </w:r>
          </w:p>
        </w:tc>
      </w:tr>
      <w:tr w:rsidR="00D51D3A">
        <w:trPr>
          <w:trHeight w:hRule="exact" w:val="907"/>
          <w:jc w:val="center"/>
        </w:trPr>
        <w:tc>
          <w:tcPr>
            <w:tcW w:w="8834" w:type="dxa"/>
            <w:vAlign w:val="center"/>
          </w:tcPr>
          <w:p w:rsidR="00D51D3A" w:rsidRDefault="0026578D">
            <w:pPr>
              <w:autoSpaceDE w:val="0"/>
              <w:autoSpaceDN w:val="0"/>
              <w:adjustRightInd w:val="0"/>
              <w:jc w:val="center"/>
              <w:rPr>
                <w:rFonts w:ascii="Times New Roman" w:eastAsia="仿宋" w:hAnsi="Times New Roman" w:cs="宋体"/>
                <w:color w:val="000000"/>
                <w:sz w:val="44"/>
                <w:szCs w:val="44"/>
              </w:rPr>
            </w:pPr>
            <w:r>
              <w:rPr>
                <w:rFonts w:ascii="Times New Roman" w:eastAsia="方正小标宋简体" w:hAnsi="Times New Roman" w:cs="方正小标宋简体" w:hint="eastAsia"/>
                <w:sz w:val="52"/>
                <w:szCs w:val="52"/>
              </w:rPr>
              <w:t>编制说明</w:t>
            </w:r>
          </w:p>
        </w:tc>
      </w:tr>
      <w:tr w:rsidR="00D51D3A">
        <w:trPr>
          <w:trHeight w:val="1350"/>
          <w:jc w:val="center"/>
        </w:trPr>
        <w:tc>
          <w:tcPr>
            <w:tcW w:w="8834" w:type="dxa"/>
            <w:vAlign w:val="center"/>
          </w:tcPr>
          <w:p w:rsidR="00D51D3A" w:rsidRDefault="00D51D3A">
            <w:pPr>
              <w:jc w:val="center"/>
              <w:rPr>
                <w:rFonts w:ascii="Times New Roman" w:eastAsia="仿宋" w:hAnsi="Times New Roman"/>
                <w:sz w:val="44"/>
                <w:szCs w:val="44"/>
              </w:rPr>
            </w:pPr>
          </w:p>
        </w:tc>
      </w:tr>
      <w:tr w:rsidR="00D51D3A">
        <w:trPr>
          <w:trHeight w:val="4003"/>
          <w:jc w:val="center"/>
        </w:trPr>
        <w:tc>
          <w:tcPr>
            <w:tcW w:w="8834" w:type="dxa"/>
            <w:vAlign w:val="center"/>
          </w:tcPr>
          <w:p w:rsidR="00D51D3A" w:rsidRDefault="00D51D3A">
            <w:pPr>
              <w:autoSpaceDE w:val="0"/>
              <w:autoSpaceDN w:val="0"/>
              <w:adjustRightInd w:val="0"/>
              <w:ind w:firstLineChars="500" w:firstLine="1600"/>
              <w:rPr>
                <w:rFonts w:ascii="仿宋" w:eastAsia="仿宋" w:hAnsi="仿宋" w:cs="宋体"/>
                <w:color w:val="000000"/>
                <w:sz w:val="32"/>
                <w:szCs w:val="32"/>
              </w:rPr>
            </w:pPr>
          </w:p>
          <w:p w:rsidR="00D51D3A" w:rsidRDefault="00D51D3A">
            <w:pPr>
              <w:autoSpaceDE w:val="0"/>
              <w:autoSpaceDN w:val="0"/>
              <w:adjustRightInd w:val="0"/>
              <w:jc w:val="center"/>
              <w:rPr>
                <w:rFonts w:ascii="Times New Roman" w:eastAsia="方正小标宋简体" w:hAnsi="Times New Roman" w:cs="宋体"/>
                <w:color w:val="000000"/>
                <w:sz w:val="72"/>
                <w:szCs w:val="72"/>
              </w:rPr>
            </w:pPr>
          </w:p>
          <w:p w:rsidR="00D51D3A" w:rsidRDefault="00D51D3A">
            <w:pPr>
              <w:autoSpaceDE w:val="0"/>
              <w:autoSpaceDN w:val="0"/>
              <w:adjustRightInd w:val="0"/>
              <w:jc w:val="center"/>
              <w:rPr>
                <w:rFonts w:ascii="Times New Roman" w:eastAsia="方正小标宋简体" w:hAnsi="Times New Roman" w:cs="宋体"/>
                <w:color w:val="000000"/>
                <w:sz w:val="72"/>
                <w:szCs w:val="72"/>
              </w:rPr>
            </w:pPr>
          </w:p>
          <w:p w:rsidR="00D51D3A" w:rsidRDefault="00D51D3A">
            <w:pPr>
              <w:autoSpaceDE w:val="0"/>
              <w:autoSpaceDN w:val="0"/>
              <w:adjustRightInd w:val="0"/>
              <w:rPr>
                <w:rFonts w:ascii="Times New Roman" w:eastAsia="方正小标宋简体" w:hAnsi="Times New Roman" w:cs="宋体"/>
                <w:color w:val="000000"/>
                <w:sz w:val="72"/>
                <w:szCs w:val="72"/>
              </w:rPr>
            </w:pPr>
          </w:p>
        </w:tc>
      </w:tr>
      <w:tr w:rsidR="00D51D3A">
        <w:trPr>
          <w:trHeight w:hRule="exact" w:val="680"/>
          <w:jc w:val="center"/>
        </w:trPr>
        <w:tc>
          <w:tcPr>
            <w:tcW w:w="8834" w:type="dxa"/>
            <w:vAlign w:val="center"/>
          </w:tcPr>
          <w:p w:rsidR="00D51D3A" w:rsidRDefault="00854E66">
            <w:pPr>
              <w:autoSpaceDE w:val="0"/>
              <w:autoSpaceDN w:val="0"/>
              <w:adjustRightInd w:val="0"/>
              <w:jc w:val="center"/>
              <w:rPr>
                <w:rFonts w:ascii="Times New Roman" w:hAnsi="Times New Roman" w:cs="宋体"/>
                <w:color w:val="000000"/>
                <w:sz w:val="32"/>
                <w:szCs w:val="32"/>
              </w:rPr>
            </w:pPr>
            <w:r>
              <w:rPr>
                <w:rFonts w:ascii="Times New Roman" w:hAnsi="Times New Roman" w:hint="eastAsia"/>
                <w:snapToGrid w:val="0"/>
                <w:sz w:val="32"/>
                <w:szCs w:val="32"/>
              </w:rPr>
              <w:t>2026</w:t>
            </w:r>
            <w:r w:rsidR="0026578D">
              <w:rPr>
                <w:rFonts w:ascii="Times New Roman" w:eastAsia="黑体" w:hAnsi="Times New Roman"/>
                <w:snapToGrid w:val="0"/>
                <w:sz w:val="32"/>
                <w:szCs w:val="32"/>
              </w:rPr>
              <w:t>年</w:t>
            </w:r>
            <w:r>
              <w:rPr>
                <w:rFonts w:ascii="Times New Roman" w:eastAsia="黑体" w:hAnsi="Times New Roman" w:hint="eastAsia"/>
                <w:sz w:val="32"/>
                <w:szCs w:val="32"/>
              </w:rPr>
              <w:t>7</w:t>
            </w:r>
            <w:r w:rsidR="0026578D">
              <w:rPr>
                <w:rFonts w:ascii="Times New Roman" w:eastAsia="黑体" w:hAnsi="Times New Roman"/>
                <w:sz w:val="32"/>
                <w:szCs w:val="32"/>
              </w:rPr>
              <w:t>月</w:t>
            </w:r>
          </w:p>
        </w:tc>
      </w:tr>
    </w:tbl>
    <w:p w:rsidR="00D51D3A" w:rsidRDefault="00D51D3A">
      <w:pPr>
        <w:adjustRightInd w:val="0"/>
        <w:snapToGrid w:val="0"/>
        <w:jc w:val="center"/>
        <w:rPr>
          <w:rFonts w:ascii="Times New Roman" w:eastAsia="黑体" w:hAnsi="Times New Roman"/>
          <w:sz w:val="36"/>
          <w:szCs w:val="36"/>
        </w:rPr>
        <w:sectPr w:rsidR="00D51D3A">
          <w:pgSz w:w="11906" w:h="16838"/>
          <w:pgMar w:top="1701" w:right="1418" w:bottom="1531" w:left="1418" w:header="851" w:footer="992" w:gutter="0"/>
          <w:cols w:space="720"/>
          <w:docGrid w:linePitch="312"/>
        </w:sectPr>
      </w:pPr>
    </w:p>
    <w:tbl>
      <w:tblPr>
        <w:tblW w:w="0" w:type="auto"/>
        <w:jc w:val="center"/>
        <w:tblLayout w:type="fixed"/>
        <w:tblLook w:val="04A0"/>
      </w:tblPr>
      <w:tblGrid>
        <w:gridCol w:w="8834"/>
      </w:tblGrid>
      <w:tr w:rsidR="00D51D3A">
        <w:trPr>
          <w:cantSplit/>
          <w:trHeight w:hRule="exact" w:val="737"/>
          <w:jc w:val="center"/>
        </w:trPr>
        <w:tc>
          <w:tcPr>
            <w:tcW w:w="8834" w:type="dxa"/>
            <w:vAlign w:val="center"/>
          </w:tcPr>
          <w:p w:rsidR="00D51D3A" w:rsidRDefault="00D51D3A">
            <w:pPr>
              <w:adjustRightInd w:val="0"/>
              <w:snapToGrid w:val="0"/>
              <w:jc w:val="center"/>
              <w:rPr>
                <w:rFonts w:ascii="Times New Roman" w:eastAsia="黑体" w:hAnsi="Times New Roman"/>
                <w:sz w:val="36"/>
                <w:szCs w:val="36"/>
              </w:rPr>
            </w:pPr>
          </w:p>
        </w:tc>
      </w:tr>
      <w:tr w:rsidR="00D51D3A">
        <w:trPr>
          <w:cantSplit/>
          <w:trHeight w:hRule="exact" w:val="737"/>
          <w:jc w:val="center"/>
        </w:trPr>
        <w:tc>
          <w:tcPr>
            <w:tcW w:w="8834" w:type="dxa"/>
            <w:vAlign w:val="center"/>
          </w:tcPr>
          <w:p w:rsidR="00D51D3A" w:rsidRDefault="0026578D">
            <w:pPr>
              <w:adjustRightInd w:val="0"/>
              <w:snapToGrid w:val="0"/>
              <w:jc w:val="center"/>
              <w:rPr>
                <w:rFonts w:ascii="Times New Roman" w:eastAsia="黑体" w:hAnsi="Times New Roman"/>
                <w:sz w:val="36"/>
                <w:szCs w:val="36"/>
              </w:rPr>
            </w:pPr>
            <w:r>
              <w:rPr>
                <w:rFonts w:ascii="Times New Roman" w:eastAsia="黑体" w:hAnsi="Times New Roman" w:hint="eastAsia"/>
                <w:sz w:val="36"/>
                <w:szCs w:val="36"/>
              </w:rPr>
              <w:t>目</w:t>
            </w:r>
            <w:r>
              <w:rPr>
                <w:rFonts w:ascii="Times New Roman" w:eastAsia="黑体" w:hAnsi="Times New Roman" w:hint="eastAsia"/>
                <w:sz w:val="36"/>
                <w:szCs w:val="36"/>
              </w:rPr>
              <w:t xml:space="preserve">    </w:t>
            </w:r>
            <w:r>
              <w:rPr>
                <w:rFonts w:ascii="Times New Roman" w:eastAsia="黑体" w:hAnsi="Times New Roman" w:hint="eastAsia"/>
                <w:sz w:val="36"/>
                <w:szCs w:val="36"/>
              </w:rPr>
              <w:t>录</w:t>
            </w:r>
          </w:p>
          <w:p w:rsidR="00D73BD8" w:rsidRDefault="00D73BD8">
            <w:pPr>
              <w:adjustRightInd w:val="0"/>
              <w:snapToGrid w:val="0"/>
              <w:jc w:val="center"/>
              <w:rPr>
                <w:rFonts w:ascii="Times New Roman" w:eastAsia="黑体" w:hAnsi="Times New Roman"/>
                <w:sz w:val="36"/>
                <w:szCs w:val="36"/>
              </w:rPr>
            </w:pPr>
          </w:p>
        </w:tc>
      </w:tr>
    </w:tbl>
    <w:p w:rsidR="00AD5C6B" w:rsidRPr="00AD5C6B" w:rsidRDefault="00DC61CD">
      <w:pPr>
        <w:pStyle w:val="1"/>
        <w:rPr>
          <w:rStyle w:val="a5"/>
          <w:rFonts w:asciiTheme="minorEastAsia" w:hAnsiTheme="minorEastAsia"/>
          <w:bCs/>
          <w:noProof/>
          <w:kern w:val="0"/>
          <w:sz w:val="32"/>
          <w:szCs w:val="32"/>
        </w:rPr>
      </w:pPr>
      <w:r w:rsidRPr="00DC61CD">
        <w:rPr>
          <w:rFonts w:asciiTheme="minorEastAsia" w:eastAsiaTheme="minorEastAsia" w:hAnsiTheme="minorEastAsia"/>
          <w:sz w:val="32"/>
          <w:szCs w:val="32"/>
        </w:rPr>
        <w:fldChar w:fldCharType="begin"/>
      </w:r>
      <w:r w:rsidR="0026578D" w:rsidRPr="00D73BD8">
        <w:rPr>
          <w:rFonts w:asciiTheme="minorEastAsia" w:eastAsiaTheme="minorEastAsia" w:hAnsiTheme="minorEastAsia"/>
          <w:sz w:val="32"/>
          <w:szCs w:val="32"/>
        </w:rPr>
        <w:instrText xml:space="preserve"> TOC \o "1-3" \h \z \u </w:instrText>
      </w:r>
      <w:r w:rsidRPr="00DC61CD">
        <w:rPr>
          <w:rFonts w:asciiTheme="minorEastAsia" w:eastAsiaTheme="minorEastAsia" w:hAnsiTheme="minorEastAsia"/>
          <w:sz w:val="32"/>
          <w:szCs w:val="32"/>
        </w:rPr>
        <w:fldChar w:fldCharType="separate"/>
      </w:r>
      <w:hyperlink w:anchor="_Toc235631392" w:history="1">
        <w:r w:rsidR="00AD5C6B" w:rsidRPr="00AD5C6B">
          <w:rPr>
            <w:rStyle w:val="a5"/>
            <w:rFonts w:asciiTheme="minorEastAsia" w:eastAsiaTheme="minorEastAsia" w:hAnsiTheme="minorEastAsia"/>
            <w:bCs/>
            <w:noProof/>
            <w:kern w:val="0"/>
            <w:sz w:val="32"/>
            <w:szCs w:val="32"/>
          </w:rPr>
          <w:t>一、任务来源</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_Toc235631392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1</w:t>
        </w:r>
        <w:r w:rsidRPr="00AD5C6B">
          <w:rPr>
            <w:rStyle w:val="a5"/>
            <w:rFonts w:asciiTheme="minorEastAsia" w:eastAsiaTheme="minorEastAsia" w:hAnsiTheme="minorEastAsia"/>
            <w:bCs/>
            <w:noProof/>
            <w:webHidden/>
            <w:kern w:val="0"/>
            <w:sz w:val="32"/>
            <w:szCs w:val="32"/>
          </w:rPr>
          <w:fldChar w:fldCharType="end"/>
        </w:r>
      </w:hyperlink>
    </w:p>
    <w:p w:rsidR="00AD5C6B" w:rsidRPr="00AD5C6B" w:rsidRDefault="00DC61CD">
      <w:pPr>
        <w:pStyle w:val="1"/>
        <w:rPr>
          <w:rStyle w:val="a5"/>
          <w:rFonts w:asciiTheme="minorEastAsia" w:hAnsiTheme="minorEastAsia"/>
          <w:bCs/>
          <w:noProof/>
          <w:kern w:val="0"/>
          <w:sz w:val="32"/>
          <w:szCs w:val="32"/>
        </w:rPr>
      </w:pPr>
      <w:hyperlink w:anchor="_Toc235631393" w:history="1">
        <w:r w:rsidR="00AD5C6B" w:rsidRPr="00AD5C6B">
          <w:rPr>
            <w:rStyle w:val="a5"/>
            <w:rFonts w:asciiTheme="minorEastAsia" w:eastAsiaTheme="minorEastAsia" w:hAnsiTheme="minorEastAsia"/>
            <w:bCs/>
            <w:noProof/>
            <w:kern w:val="0"/>
            <w:sz w:val="32"/>
            <w:szCs w:val="32"/>
          </w:rPr>
          <w:t>二、编制原则</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_Toc235631393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1</w:t>
        </w:r>
        <w:r w:rsidRPr="00AD5C6B">
          <w:rPr>
            <w:rStyle w:val="a5"/>
            <w:rFonts w:asciiTheme="minorEastAsia" w:eastAsiaTheme="minorEastAsia" w:hAnsiTheme="minorEastAsia"/>
            <w:bCs/>
            <w:noProof/>
            <w:webHidden/>
            <w:kern w:val="0"/>
            <w:sz w:val="32"/>
            <w:szCs w:val="32"/>
          </w:rPr>
          <w:fldChar w:fldCharType="end"/>
        </w:r>
      </w:hyperlink>
    </w:p>
    <w:p w:rsidR="00AD5C6B" w:rsidRPr="00AD5C6B" w:rsidRDefault="00DC61CD">
      <w:pPr>
        <w:pStyle w:val="1"/>
        <w:rPr>
          <w:rStyle w:val="a5"/>
          <w:rFonts w:asciiTheme="minorEastAsia" w:hAnsiTheme="minorEastAsia"/>
          <w:bCs/>
          <w:noProof/>
          <w:kern w:val="0"/>
          <w:sz w:val="32"/>
          <w:szCs w:val="32"/>
        </w:rPr>
      </w:pPr>
      <w:hyperlink w:anchor="_Toc235631394" w:history="1">
        <w:r w:rsidR="00AD5C6B" w:rsidRPr="00AD5C6B">
          <w:rPr>
            <w:rStyle w:val="a5"/>
            <w:rFonts w:asciiTheme="minorEastAsia" w:eastAsiaTheme="minorEastAsia" w:hAnsiTheme="minorEastAsia"/>
            <w:bCs/>
            <w:noProof/>
            <w:kern w:val="0"/>
            <w:sz w:val="32"/>
            <w:szCs w:val="32"/>
          </w:rPr>
          <w:t>三、编制过程</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_Toc235631394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1</w:t>
        </w:r>
        <w:r w:rsidRPr="00AD5C6B">
          <w:rPr>
            <w:rStyle w:val="a5"/>
            <w:rFonts w:asciiTheme="minorEastAsia" w:eastAsiaTheme="minorEastAsia" w:hAnsiTheme="minorEastAsia"/>
            <w:bCs/>
            <w:noProof/>
            <w:webHidden/>
            <w:kern w:val="0"/>
            <w:sz w:val="32"/>
            <w:szCs w:val="32"/>
          </w:rPr>
          <w:fldChar w:fldCharType="end"/>
        </w:r>
      </w:hyperlink>
    </w:p>
    <w:p w:rsidR="00AD5C6B" w:rsidRPr="00AD5C6B" w:rsidRDefault="00DC61CD">
      <w:pPr>
        <w:pStyle w:val="1"/>
        <w:rPr>
          <w:rStyle w:val="a5"/>
          <w:rFonts w:asciiTheme="minorEastAsia" w:hAnsiTheme="minorEastAsia"/>
          <w:bCs/>
          <w:noProof/>
          <w:kern w:val="0"/>
          <w:sz w:val="32"/>
          <w:szCs w:val="32"/>
        </w:rPr>
      </w:pPr>
      <w:hyperlink w:anchor="_Toc235631395" w:history="1">
        <w:r w:rsidR="00AD5C6B" w:rsidRPr="00AD5C6B">
          <w:rPr>
            <w:rStyle w:val="a5"/>
            <w:rFonts w:asciiTheme="minorEastAsia" w:eastAsiaTheme="minorEastAsia" w:hAnsiTheme="minorEastAsia"/>
            <w:bCs/>
            <w:noProof/>
            <w:kern w:val="0"/>
            <w:sz w:val="32"/>
            <w:szCs w:val="32"/>
          </w:rPr>
          <w:t>四、主要编制（或修订）内容</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_Toc235631395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3</w:t>
        </w:r>
        <w:r w:rsidRPr="00AD5C6B">
          <w:rPr>
            <w:rStyle w:val="a5"/>
            <w:rFonts w:asciiTheme="minorEastAsia" w:eastAsiaTheme="minorEastAsia" w:hAnsiTheme="minorEastAsia"/>
            <w:bCs/>
            <w:noProof/>
            <w:webHidden/>
            <w:kern w:val="0"/>
            <w:sz w:val="32"/>
            <w:szCs w:val="32"/>
          </w:rPr>
          <w:fldChar w:fldCharType="end"/>
        </w:r>
      </w:hyperlink>
    </w:p>
    <w:p w:rsidR="00AD5C6B" w:rsidRPr="00AD5C6B" w:rsidRDefault="00DC61CD">
      <w:pPr>
        <w:pStyle w:val="1"/>
        <w:rPr>
          <w:rStyle w:val="a5"/>
          <w:rFonts w:asciiTheme="minorEastAsia" w:hAnsiTheme="minorEastAsia"/>
          <w:bCs/>
          <w:noProof/>
          <w:kern w:val="0"/>
          <w:sz w:val="32"/>
          <w:szCs w:val="32"/>
        </w:rPr>
      </w:pPr>
      <w:hyperlink w:anchor="_Toc235631396" w:history="1">
        <w:r w:rsidR="00AD5C6B" w:rsidRPr="00AD5C6B">
          <w:rPr>
            <w:rStyle w:val="a5"/>
            <w:rFonts w:asciiTheme="minorEastAsia" w:eastAsiaTheme="minorEastAsia" w:hAnsiTheme="minorEastAsia"/>
            <w:bCs/>
            <w:noProof/>
            <w:kern w:val="0"/>
            <w:sz w:val="32"/>
            <w:szCs w:val="32"/>
          </w:rPr>
          <w:t>五、工作大纲审查会专家意见执行情况</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_Toc235631396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4</w:t>
        </w:r>
        <w:r w:rsidRPr="00AD5C6B">
          <w:rPr>
            <w:rStyle w:val="a5"/>
            <w:rFonts w:asciiTheme="minorEastAsia" w:eastAsiaTheme="minorEastAsia" w:hAnsiTheme="minorEastAsia"/>
            <w:bCs/>
            <w:noProof/>
            <w:webHidden/>
            <w:kern w:val="0"/>
            <w:sz w:val="32"/>
            <w:szCs w:val="32"/>
          </w:rPr>
          <w:fldChar w:fldCharType="end"/>
        </w:r>
      </w:hyperlink>
    </w:p>
    <w:p w:rsidR="00AD5C6B" w:rsidRPr="00AD5C6B" w:rsidRDefault="00DC61CD">
      <w:pPr>
        <w:pStyle w:val="1"/>
        <w:rPr>
          <w:rStyle w:val="a5"/>
          <w:rFonts w:asciiTheme="minorEastAsia" w:hAnsiTheme="minorEastAsia"/>
          <w:bCs/>
          <w:noProof/>
          <w:kern w:val="0"/>
          <w:sz w:val="32"/>
          <w:szCs w:val="32"/>
        </w:rPr>
      </w:pPr>
      <w:hyperlink w:anchor="_Toc235631397" w:history="1">
        <w:r w:rsidR="00AD5C6B" w:rsidRPr="00AD5C6B">
          <w:rPr>
            <w:rStyle w:val="a5"/>
            <w:rFonts w:asciiTheme="minorEastAsia" w:eastAsiaTheme="minorEastAsia" w:hAnsiTheme="minorEastAsia"/>
            <w:bCs/>
            <w:noProof/>
            <w:kern w:val="0"/>
            <w:sz w:val="32"/>
            <w:szCs w:val="32"/>
          </w:rPr>
          <w:t>六、与相关标准协调情况</w:t>
        </w:r>
        <w:r w:rsidR="00AD5C6B" w:rsidRPr="00AD5C6B">
          <w:rPr>
            <w:rStyle w:val="a5"/>
            <w:rFonts w:asciiTheme="minorEastAsia" w:eastAsiaTheme="minorEastAsia" w:hAnsiTheme="minorEastAsia"/>
            <w:bCs/>
            <w:noProof/>
            <w:webHidden/>
            <w:kern w:val="0"/>
            <w:sz w:val="32"/>
            <w:szCs w:val="32"/>
          </w:rPr>
          <w:tab/>
        </w:r>
        <w:r w:rsidRPr="00AD5C6B">
          <w:rPr>
            <w:rStyle w:val="a5"/>
            <w:rFonts w:asciiTheme="minorEastAsia" w:eastAsiaTheme="minorEastAsia" w:hAnsiTheme="minorEastAsia"/>
            <w:bCs/>
            <w:noProof/>
            <w:webHidden/>
            <w:kern w:val="0"/>
            <w:sz w:val="32"/>
            <w:szCs w:val="32"/>
          </w:rPr>
          <w:fldChar w:fldCharType="begin"/>
        </w:r>
        <w:r w:rsidR="00AD5C6B" w:rsidRPr="00AD5C6B">
          <w:rPr>
            <w:rStyle w:val="a5"/>
            <w:rFonts w:asciiTheme="minorEastAsia" w:eastAsiaTheme="minorEastAsia" w:hAnsiTheme="minorEastAsia"/>
            <w:bCs/>
            <w:noProof/>
            <w:webHidden/>
            <w:kern w:val="0"/>
            <w:sz w:val="32"/>
            <w:szCs w:val="32"/>
          </w:rPr>
          <w:instrText xml:space="preserve"> PAGEREF _Toc235631397 \h </w:instrText>
        </w:r>
        <w:r w:rsidRPr="00AD5C6B">
          <w:rPr>
            <w:rStyle w:val="a5"/>
            <w:rFonts w:asciiTheme="minorEastAsia" w:eastAsiaTheme="minorEastAsia" w:hAnsiTheme="minorEastAsia"/>
            <w:bCs/>
            <w:noProof/>
            <w:webHidden/>
            <w:kern w:val="0"/>
            <w:sz w:val="32"/>
            <w:szCs w:val="32"/>
          </w:rPr>
        </w:r>
        <w:r w:rsidRPr="00AD5C6B">
          <w:rPr>
            <w:rStyle w:val="a5"/>
            <w:rFonts w:asciiTheme="minorEastAsia" w:eastAsiaTheme="minorEastAsia" w:hAnsiTheme="minorEastAsia"/>
            <w:bCs/>
            <w:noProof/>
            <w:webHidden/>
            <w:kern w:val="0"/>
            <w:sz w:val="32"/>
            <w:szCs w:val="32"/>
          </w:rPr>
          <w:fldChar w:fldCharType="separate"/>
        </w:r>
        <w:r w:rsidR="00D27173">
          <w:rPr>
            <w:rStyle w:val="a5"/>
            <w:rFonts w:asciiTheme="minorEastAsia" w:eastAsiaTheme="minorEastAsia" w:hAnsiTheme="minorEastAsia" w:hint="eastAsia"/>
            <w:bCs/>
            <w:noProof/>
            <w:webHidden/>
            <w:kern w:val="0"/>
            <w:sz w:val="32"/>
            <w:szCs w:val="32"/>
          </w:rPr>
          <w:t>5</w:t>
        </w:r>
        <w:r w:rsidRPr="00AD5C6B">
          <w:rPr>
            <w:rStyle w:val="a5"/>
            <w:rFonts w:asciiTheme="minorEastAsia" w:eastAsiaTheme="minorEastAsia" w:hAnsiTheme="minorEastAsia"/>
            <w:bCs/>
            <w:noProof/>
            <w:webHidden/>
            <w:kern w:val="0"/>
            <w:sz w:val="32"/>
            <w:szCs w:val="32"/>
          </w:rPr>
          <w:fldChar w:fldCharType="end"/>
        </w:r>
      </w:hyperlink>
    </w:p>
    <w:p w:rsidR="00D51D3A" w:rsidRDefault="00DC61CD">
      <w:pPr>
        <w:spacing w:line="480" w:lineRule="auto"/>
        <w:ind w:firstLine="482"/>
        <w:rPr>
          <w:rFonts w:ascii="Times New Roman" w:eastAsia="楷体" w:hAnsi="Times New Roman"/>
          <w:color w:val="A5A5A5"/>
          <w:w w:val="50"/>
          <w:sz w:val="32"/>
          <w:szCs w:val="32"/>
          <w:highlight w:val="green"/>
        </w:rPr>
        <w:sectPr w:rsidR="00D51D3A">
          <w:footerReference w:type="default" r:id="rId7"/>
          <w:pgSz w:w="11906" w:h="16838"/>
          <w:pgMar w:top="1701" w:right="1418" w:bottom="1531" w:left="1418" w:header="851" w:footer="992" w:gutter="0"/>
          <w:pgNumType w:start="1"/>
          <w:cols w:space="720"/>
          <w:docGrid w:linePitch="312"/>
        </w:sectPr>
      </w:pPr>
      <w:r w:rsidRPr="00D73BD8">
        <w:rPr>
          <w:rFonts w:asciiTheme="minorEastAsia" w:eastAsiaTheme="minorEastAsia" w:hAnsiTheme="minorEastAsia"/>
          <w:b/>
          <w:bCs/>
          <w:kern w:val="0"/>
          <w:sz w:val="32"/>
          <w:szCs w:val="32"/>
          <w:lang w:val="zh-CN"/>
        </w:rPr>
        <w:fldChar w:fldCharType="end"/>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0" w:name="_Toc235631392"/>
      <w:r>
        <w:rPr>
          <w:rFonts w:ascii="Times New Roman" w:eastAsia="黑体" w:hAnsi="Times New Roman" w:hint="eastAsia"/>
          <w:bCs/>
          <w:kern w:val="0"/>
          <w:sz w:val="32"/>
          <w:szCs w:val="32"/>
        </w:rPr>
        <w:lastRenderedPageBreak/>
        <w:t>一</w:t>
      </w:r>
      <w:r>
        <w:rPr>
          <w:rFonts w:ascii="Times New Roman" w:eastAsia="黑体" w:hAnsi="Times New Roman"/>
          <w:bCs/>
          <w:kern w:val="0"/>
          <w:sz w:val="32"/>
          <w:szCs w:val="32"/>
        </w:rPr>
        <w:t>、</w:t>
      </w:r>
      <w:r>
        <w:rPr>
          <w:rFonts w:ascii="Times New Roman" w:eastAsia="黑体" w:hAnsi="Times New Roman" w:hint="eastAsia"/>
          <w:bCs/>
          <w:kern w:val="0"/>
          <w:sz w:val="32"/>
          <w:szCs w:val="32"/>
        </w:rPr>
        <w:t>任务来源</w:t>
      </w:r>
      <w:bookmarkEnd w:id="0"/>
    </w:p>
    <w:p w:rsidR="00854E66" w:rsidRPr="00854E66" w:rsidRDefault="00854E66" w:rsidP="00854E66">
      <w:pPr>
        <w:adjustRightInd w:val="0"/>
        <w:snapToGrid w:val="0"/>
        <w:spacing w:line="560" w:lineRule="exact"/>
        <w:ind w:firstLineChars="200" w:firstLine="640"/>
        <w:rPr>
          <w:rFonts w:ascii="Times New Roman" w:eastAsia="仿宋" w:hAnsi="Times New Roman"/>
          <w:sz w:val="32"/>
          <w:szCs w:val="32"/>
        </w:rPr>
      </w:pPr>
      <w:r w:rsidRPr="00854E66">
        <w:rPr>
          <w:rFonts w:ascii="Times New Roman" w:eastAsia="仿宋" w:hAnsi="Times New Roman" w:hint="eastAsia"/>
          <w:sz w:val="32"/>
          <w:szCs w:val="32"/>
        </w:rPr>
        <w:t>1</w:t>
      </w:r>
      <w:r w:rsidRPr="00854E66">
        <w:rPr>
          <w:rFonts w:ascii="Times New Roman" w:eastAsia="仿宋" w:hAnsi="Times New Roman" w:hint="eastAsia"/>
          <w:sz w:val="32"/>
          <w:szCs w:val="32"/>
        </w:rPr>
        <w:t>．《国家铁路局关于印发</w:t>
      </w:r>
      <w:r w:rsidRPr="00854E66">
        <w:rPr>
          <w:rFonts w:ascii="Times New Roman" w:eastAsia="仿宋" w:hAnsi="Times New Roman" w:hint="eastAsia"/>
          <w:sz w:val="32"/>
          <w:szCs w:val="32"/>
        </w:rPr>
        <w:t>2025</w:t>
      </w:r>
      <w:r w:rsidRPr="00854E66">
        <w:rPr>
          <w:rFonts w:ascii="Times New Roman" w:eastAsia="仿宋" w:hAnsi="Times New Roman" w:hint="eastAsia"/>
          <w:sz w:val="32"/>
          <w:szCs w:val="32"/>
        </w:rPr>
        <w:t>年铁路工程建设（含造价）标准编制计划的通知》（国铁</w:t>
      </w:r>
      <w:proofErr w:type="gramStart"/>
      <w:r w:rsidRPr="00854E66">
        <w:rPr>
          <w:rFonts w:ascii="Times New Roman" w:eastAsia="仿宋" w:hAnsi="Times New Roman" w:hint="eastAsia"/>
          <w:sz w:val="32"/>
          <w:szCs w:val="32"/>
        </w:rPr>
        <w:t>科法函</w:t>
      </w:r>
      <w:proofErr w:type="gramEnd"/>
      <w:r w:rsidRPr="00854E66">
        <w:rPr>
          <w:rFonts w:ascii="Times New Roman" w:eastAsia="仿宋" w:hAnsi="Times New Roman" w:hint="eastAsia"/>
          <w:sz w:val="32"/>
          <w:szCs w:val="32"/>
        </w:rPr>
        <w:t>〔</w:t>
      </w:r>
      <w:r w:rsidRPr="00854E66">
        <w:rPr>
          <w:rFonts w:ascii="Times New Roman" w:eastAsia="仿宋" w:hAnsi="Times New Roman" w:hint="eastAsia"/>
          <w:sz w:val="32"/>
          <w:szCs w:val="32"/>
        </w:rPr>
        <w:t>2025</w:t>
      </w:r>
      <w:r w:rsidRPr="00854E66">
        <w:rPr>
          <w:rFonts w:ascii="Times New Roman" w:eastAsia="仿宋" w:hAnsi="Times New Roman" w:hint="eastAsia"/>
          <w:sz w:val="32"/>
          <w:szCs w:val="32"/>
        </w:rPr>
        <w:t>〕</w:t>
      </w:r>
      <w:r w:rsidRPr="00854E66">
        <w:rPr>
          <w:rFonts w:ascii="Times New Roman" w:eastAsia="仿宋" w:hAnsi="Times New Roman" w:hint="eastAsia"/>
          <w:sz w:val="32"/>
          <w:szCs w:val="32"/>
        </w:rPr>
        <w:t>83</w:t>
      </w:r>
      <w:r w:rsidRPr="00854E66">
        <w:rPr>
          <w:rFonts w:ascii="Times New Roman" w:eastAsia="仿宋" w:hAnsi="Times New Roman" w:hint="eastAsia"/>
          <w:sz w:val="32"/>
          <w:szCs w:val="32"/>
        </w:rPr>
        <w:t>号）。</w:t>
      </w:r>
    </w:p>
    <w:p w:rsidR="00D51D3A" w:rsidRDefault="00854E66" w:rsidP="00854E66">
      <w:pPr>
        <w:adjustRightInd w:val="0"/>
        <w:snapToGrid w:val="0"/>
        <w:spacing w:line="560" w:lineRule="exact"/>
        <w:ind w:firstLineChars="200" w:firstLine="640"/>
        <w:rPr>
          <w:rFonts w:ascii="Times New Roman" w:eastAsia="仿宋" w:hAnsi="Times New Roman"/>
          <w:sz w:val="32"/>
          <w:szCs w:val="32"/>
        </w:rPr>
      </w:pPr>
      <w:r w:rsidRPr="00854E66">
        <w:rPr>
          <w:rFonts w:ascii="Times New Roman" w:eastAsia="仿宋" w:hAnsi="Times New Roman" w:hint="eastAsia"/>
          <w:sz w:val="32"/>
          <w:szCs w:val="32"/>
        </w:rPr>
        <w:t>2</w:t>
      </w:r>
      <w:r w:rsidRPr="00854E66">
        <w:rPr>
          <w:rFonts w:ascii="Times New Roman" w:eastAsia="仿宋" w:hAnsi="Times New Roman" w:hint="eastAsia"/>
          <w:sz w:val="32"/>
          <w:szCs w:val="32"/>
        </w:rPr>
        <w:t>．《中国铁路经济规划研究院有限公司关于合作编制国家铁路局</w:t>
      </w:r>
      <w:r w:rsidRPr="00854E66">
        <w:rPr>
          <w:rFonts w:ascii="Times New Roman" w:eastAsia="仿宋" w:hAnsi="Times New Roman" w:hint="eastAsia"/>
          <w:sz w:val="32"/>
          <w:szCs w:val="32"/>
        </w:rPr>
        <w:t>2025</w:t>
      </w:r>
      <w:r w:rsidRPr="00854E66">
        <w:rPr>
          <w:rFonts w:ascii="Times New Roman" w:eastAsia="仿宋" w:hAnsi="Times New Roman" w:hint="eastAsia"/>
          <w:sz w:val="32"/>
          <w:szCs w:val="32"/>
        </w:rPr>
        <w:t>年铁路工程建设（含造价）标准新开项目的函》。</w:t>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1" w:name="_Toc235631393"/>
      <w:r>
        <w:rPr>
          <w:rFonts w:ascii="Times New Roman" w:eastAsia="黑体" w:hAnsi="Times New Roman" w:hint="eastAsia"/>
          <w:bCs/>
          <w:kern w:val="0"/>
          <w:sz w:val="32"/>
          <w:szCs w:val="32"/>
        </w:rPr>
        <w:t>二、编制原则</w:t>
      </w:r>
      <w:bookmarkEnd w:id="1"/>
    </w:p>
    <w:p w:rsidR="007E6CB4" w:rsidRPr="007E6CB4" w:rsidRDefault="007E6CB4" w:rsidP="007E6CB4">
      <w:pPr>
        <w:adjustRightInd w:val="0"/>
        <w:snapToGrid w:val="0"/>
        <w:spacing w:line="560" w:lineRule="exact"/>
        <w:ind w:firstLineChars="200" w:firstLine="640"/>
        <w:rPr>
          <w:rFonts w:ascii="Times New Roman" w:eastAsia="仿宋" w:hAnsi="Times New Roman"/>
          <w:sz w:val="32"/>
          <w:szCs w:val="32"/>
        </w:rPr>
      </w:pPr>
      <w:r w:rsidRPr="007E6CB4">
        <w:rPr>
          <w:rFonts w:ascii="Times New Roman" w:eastAsia="仿宋" w:hAnsi="Times New Roman" w:hint="eastAsia"/>
          <w:sz w:val="32"/>
          <w:szCs w:val="32"/>
        </w:rPr>
        <w:t>按照《铁路技术标准管理办法》有关规定，本标准按以下原则开展编制工作：</w:t>
      </w:r>
    </w:p>
    <w:p w:rsidR="007E6CB4" w:rsidRPr="007E6CB4" w:rsidRDefault="007E6CB4" w:rsidP="007E6CB4">
      <w:pPr>
        <w:adjustRightInd w:val="0"/>
        <w:snapToGrid w:val="0"/>
        <w:spacing w:line="560" w:lineRule="exact"/>
        <w:ind w:firstLineChars="200" w:firstLine="640"/>
        <w:rPr>
          <w:rFonts w:ascii="Times New Roman" w:eastAsia="仿宋" w:hAnsi="Times New Roman"/>
          <w:sz w:val="32"/>
          <w:szCs w:val="32"/>
        </w:rPr>
      </w:pPr>
      <w:r w:rsidRPr="007E6CB4">
        <w:rPr>
          <w:rFonts w:ascii="Times New Roman" w:eastAsia="仿宋" w:hAnsi="Times New Roman" w:hint="eastAsia"/>
          <w:sz w:val="32"/>
          <w:szCs w:val="32"/>
        </w:rPr>
        <w:t xml:space="preserve">1. </w:t>
      </w:r>
      <w:r w:rsidRPr="007E6CB4">
        <w:rPr>
          <w:rFonts w:ascii="Times New Roman" w:eastAsia="仿宋" w:hAnsi="Times New Roman" w:hint="eastAsia"/>
          <w:sz w:val="32"/>
          <w:szCs w:val="32"/>
        </w:rPr>
        <w:t>创新引领、技术赋能。聚焦铁路旅客车站深基坑工程安全管控，引入最新科研成果，推动智能传感、实时监测与数据分析等先进技术的标准化应用。</w:t>
      </w:r>
    </w:p>
    <w:p w:rsidR="007E6CB4" w:rsidRPr="007E6CB4" w:rsidRDefault="007E6CB4" w:rsidP="007E6CB4">
      <w:pPr>
        <w:adjustRightInd w:val="0"/>
        <w:snapToGrid w:val="0"/>
        <w:spacing w:line="560" w:lineRule="exact"/>
        <w:ind w:firstLineChars="200" w:firstLine="640"/>
        <w:rPr>
          <w:rFonts w:ascii="Times New Roman" w:eastAsia="仿宋" w:hAnsi="Times New Roman"/>
          <w:sz w:val="32"/>
          <w:szCs w:val="32"/>
        </w:rPr>
      </w:pPr>
      <w:r w:rsidRPr="007E6CB4">
        <w:rPr>
          <w:rFonts w:ascii="Times New Roman" w:eastAsia="仿宋" w:hAnsi="Times New Roman" w:hint="eastAsia"/>
          <w:sz w:val="32"/>
          <w:szCs w:val="32"/>
        </w:rPr>
        <w:t xml:space="preserve">2. </w:t>
      </w:r>
      <w:r w:rsidR="004878D4">
        <w:rPr>
          <w:rFonts w:ascii="Times New Roman" w:eastAsia="仿宋" w:hAnsi="Times New Roman" w:hint="eastAsia"/>
          <w:sz w:val="32"/>
          <w:szCs w:val="32"/>
        </w:rPr>
        <w:t>明确目标</w:t>
      </w:r>
      <w:r w:rsidRPr="007E6CB4">
        <w:rPr>
          <w:rFonts w:ascii="Times New Roman" w:eastAsia="仿宋" w:hAnsi="Times New Roman" w:hint="eastAsia"/>
          <w:sz w:val="32"/>
          <w:szCs w:val="32"/>
        </w:rPr>
        <w:t>、</w:t>
      </w:r>
      <w:r w:rsidR="004878D4">
        <w:rPr>
          <w:rFonts w:ascii="Times New Roman" w:eastAsia="仿宋" w:hAnsi="Times New Roman" w:hint="eastAsia"/>
          <w:sz w:val="32"/>
          <w:szCs w:val="32"/>
        </w:rPr>
        <w:t>统一方法</w:t>
      </w:r>
      <w:r w:rsidRPr="007E6CB4">
        <w:rPr>
          <w:rFonts w:ascii="Times New Roman" w:eastAsia="仿宋" w:hAnsi="Times New Roman" w:hint="eastAsia"/>
          <w:sz w:val="32"/>
          <w:szCs w:val="32"/>
        </w:rPr>
        <w:t>。</w:t>
      </w:r>
      <w:r w:rsidR="00FE1D8A">
        <w:rPr>
          <w:rFonts w:ascii="Times New Roman" w:eastAsia="仿宋" w:hAnsi="Times New Roman" w:hint="eastAsia"/>
          <w:sz w:val="32"/>
          <w:szCs w:val="32"/>
        </w:rPr>
        <w:t>明确</w:t>
      </w:r>
      <w:r w:rsidRPr="007E6CB4">
        <w:rPr>
          <w:rFonts w:ascii="Times New Roman" w:eastAsia="仿宋" w:hAnsi="Times New Roman" w:hint="eastAsia"/>
          <w:sz w:val="32"/>
          <w:szCs w:val="32"/>
        </w:rPr>
        <w:t>深基坑工程安全监测</w:t>
      </w:r>
      <w:r w:rsidR="00FE1D8A">
        <w:rPr>
          <w:rFonts w:ascii="Times New Roman" w:eastAsia="仿宋" w:hAnsi="Times New Roman" w:hint="eastAsia"/>
          <w:sz w:val="32"/>
          <w:szCs w:val="32"/>
        </w:rPr>
        <w:t>项目</w:t>
      </w:r>
      <w:r w:rsidRPr="007E6CB4">
        <w:rPr>
          <w:rFonts w:ascii="Times New Roman" w:eastAsia="仿宋" w:hAnsi="Times New Roman" w:hint="eastAsia"/>
          <w:sz w:val="32"/>
          <w:szCs w:val="32"/>
        </w:rPr>
        <w:t>与评估</w:t>
      </w:r>
      <w:r w:rsidR="00FE1D8A">
        <w:rPr>
          <w:rFonts w:ascii="Times New Roman" w:eastAsia="仿宋" w:hAnsi="Times New Roman" w:hint="eastAsia"/>
          <w:sz w:val="32"/>
          <w:szCs w:val="32"/>
        </w:rPr>
        <w:t>指标</w:t>
      </w:r>
      <w:r w:rsidRPr="007E6CB4">
        <w:rPr>
          <w:rFonts w:ascii="Times New Roman" w:eastAsia="仿宋" w:hAnsi="Times New Roman" w:hint="eastAsia"/>
          <w:sz w:val="32"/>
          <w:szCs w:val="32"/>
        </w:rPr>
        <w:t>，</w:t>
      </w:r>
      <w:r w:rsidR="00FE1D8A">
        <w:rPr>
          <w:rFonts w:ascii="Times New Roman" w:eastAsia="仿宋" w:hAnsi="Times New Roman" w:hint="eastAsia"/>
          <w:sz w:val="32"/>
          <w:szCs w:val="32"/>
        </w:rPr>
        <w:t>提出合理的监测和评估方法，</w:t>
      </w:r>
      <w:r w:rsidRPr="007E6CB4">
        <w:rPr>
          <w:rFonts w:ascii="Times New Roman" w:eastAsia="仿宋" w:hAnsi="Times New Roman" w:hint="eastAsia"/>
          <w:sz w:val="32"/>
          <w:szCs w:val="32"/>
        </w:rPr>
        <w:t>确保能够解决现场实际问题，全面覆盖管控项目，服务工程建造。</w:t>
      </w:r>
    </w:p>
    <w:p w:rsidR="007E6CB4" w:rsidRPr="007E6CB4" w:rsidRDefault="007E6CB4" w:rsidP="007E6CB4">
      <w:pPr>
        <w:adjustRightInd w:val="0"/>
        <w:snapToGrid w:val="0"/>
        <w:spacing w:line="560" w:lineRule="exact"/>
        <w:ind w:firstLineChars="200" w:firstLine="640"/>
        <w:rPr>
          <w:rFonts w:ascii="Times New Roman" w:eastAsia="仿宋" w:hAnsi="Times New Roman"/>
          <w:sz w:val="32"/>
          <w:szCs w:val="32"/>
        </w:rPr>
      </w:pPr>
      <w:r w:rsidRPr="007E6CB4">
        <w:rPr>
          <w:rFonts w:ascii="Times New Roman" w:eastAsia="仿宋" w:hAnsi="Times New Roman" w:hint="eastAsia"/>
          <w:sz w:val="32"/>
          <w:szCs w:val="32"/>
        </w:rPr>
        <w:t xml:space="preserve">3. </w:t>
      </w:r>
      <w:r w:rsidRPr="007E6CB4">
        <w:rPr>
          <w:rFonts w:ascii="Times New Roman" w:eastAsia="仿宋" w:hAnsi="Times New Roman" w:hint="eastAsia"/>
          <w:sz w:val="32"/>
          <w:szCs w:val="32"/>
        </w:rPr>
        <w:t>充分借鉴、合理吸纳。参照国家及行业相关标准内容，依据旅客车站深基坑特点，选择性吸纳建筑工程、城市轨道交通工程、冶金工程等相关标准内容。</w:t>
      </w:r>
    </w:p>
    <w:p w:rsidR="00D51D3A" w:rsidRDefault="007E6CB4" w:rsidP="007E6CB4">
      <w:pPr>
        <w:adjustRightInd w:val="0"/>
        <w:snapToGrid w:val="0"/>
        <w:spacing w:line="560" w:lineRule="exact"/>
        <w:ind w:firstLineChars="200" w:firstLine="640"/>
        <w:rPr>
          <w:rFonts w:ascii="Times New Roman" w:eastAsia="黑体" w:hAnsi="Times New Roman"/>
          <w:bCs/>
          <w:kern w:val="0"/>
          <w:sz w:val="32"/>
          <w:szCs w:val="32"/>
        </w:rPr>
      </w:pPr>
      <w:r w:rsidRPr="007E6CB4">
        <w:rPr>
          <w:rFonts w:ascii="Times New Roman" w:eastAsia="仿宋" w:hAnsi="Times New Roman" w:hint="eastAsia"/>
          <w:sz w:val="32"/>
          <w:szCs w:val="32"/>
        </w:rPr>
        <w:t xml:space="preserve">4. </w:t>
      </w:r>
      <w:r w:rsidRPr="007E6CB4">
        <w:rPr>
          <w:rFonts w:ascii="Times New Roman" w:eastAsia="仿宋" w:hAnsi="Times New Roman" w:hint="eastAsia"/>
          <w:sz w:val="32"/>
          <w:szCs w:val="32"/>
        </w:rPr>
        <w:t>协调一致、界面清晰。与国家、铁路现行规范协调配套，确保规范之间衔接顺畅，避免交叉、重复和矛盾，方便设计、施工、监测人员使用。</w:t>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2" w:name="_Toc235631394"/>
      <w:r>
        <w:rPr>
          <w:rFonts w:ascii="Times New Roman" w:eastAsia="黑体" w:hAnsi="Times New Roman" w:hint="eastAsia"/>
          <w:bCs/>
          <w:kern w:val="0"/>
          <w:sz w:val="32"/>
          <w:szCs w:val="32"/>
        </w:rPr>
        <w:t>三、编制过程</w:t>
      </w:r>
      <w:bookmarkEnd w:id="2"/>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本标准主编单位为中铁建设集团有限公司，参编单位中铁第</w:t>
      </w:r>
      <w:r w:rsidRPr="007E6CB4">
        <w:rPr>
          <w:rFonts w:ascii="仿宋" w:eastAsia="仿宋" w:hAnsi="仿宋" w:cs="仿宋" w:hint="eastAsia"/>
          <w:bCs/>
          <w:kern w:val="0"/>
          <w:sz w:val="32"/>
          <w:szCs w:val="32"/>
        </w:rPr>
        <w:lastRenderedPageBreak/>
        <w:t>四勘察设计院集团有限公司、天津大学、中国铁路设计集团有限公司、中国铁道科学研究院集团有限公司。主要编制过程如下：</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1．前期准备阶段。2025年8月28日，成立《铁路旅客车站基坑工程安全监测与评估技术标准》编制组。</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2．工作大纲阶段。2025年9月，</w:t>
      </w:r>
      <w:r w:rsidR="0015149C" w:rsidRPr="007E6CB4">
        <w:rPr>
          <w:rFonts w:ascii="仿宋" w:eastAsia="仿宋" w:hAnsi="仿宋" w:cs="仿宋" w:hint="eastAsia"/>
          <w:bCs/>
          <w:kern w:val="0"/>
          <w:sz w:val="32"/>
          <w:szCs w:val="32"/>
        </w:rPr>
        <w:t>中铁建设</w:t>
      </w:r>
      <w:r w:rsidRPr="007E6CB4">
        <w:rPr>
          <w:rFonts w:ascii="仿宋" w:eastAsia="仿宋" w:hAnsi="仿宋" w:cs="仿宋" w:hint="eastAsia"/>
          <w:bCs/>
          <w:kern w:val="0"/>
          <w:sz w:val="32"/>
          <w:szCs w:val="32"/>
        </w:rPr>
        <w:t>组织各参编单位完成工作大纲，明确修编原则、章节目次、主要修订内容、编制进度和任务分工等。2025年10月，中铁建设组织编制完成《铁路旅客车站基坑工程安全监测与评估技术标准》（工作大纲），并随函报送经</w:t>
      </w:r>
      <w:proofErr w:type="gramStart"/>
      <w:r w:rsidRPr="007E6CB4">
        <w:rPr>
          <w:rFonts w:ascii="仿宋" w:eastAsia="仿宋" w:hAnsi="仿宋" w:cs="仿宋" w:hint="eastAsia"/>
          <w:bCs/>
          <w:kern w:val="0"/>
          <w:sz w:val="32"/>
          <w:szCs w:val="32"/>
        </w:rPr>
        <w:t>规</w:t>
      </w:r>
      <w:proofErr w:type="gramEnd"/>
      <w:r w:rsidRPr="007E6CB4">
        <w:rPr>
          <w:rFonts w:ascii="仿宋" w:eastAsia="仿宋" w:hAnsi="仿宋" w:cs="仿宋" w:hint="eastAsia"/>
          <w:bCs/>
          <w:kern w:val="0"/>
          <w:sz w:val="32"/>
          <w:szCs w:val="32"/>
        </w:rPr>
        <w:t>院。2025年11月，经</w:t>
      </w:r>
      <w:proofErr w:type="gramStart"/>
      <w:r w:rsidRPr="007E6CB4">
        <w:rPr>
          <w:rFonts w:ascii="仿宋" w:eastAsia="仿宋" w:hAnsi="仿宋" w:cs="仿宋" w:hint="eastAsia"/>
          <w:bCs/>
          <w:kern w:val="0"/>
          <w:sz w:val="32"/>
          <w:szCs w:val="32"/>
        </w:rPr>
        <w:t>规院公司</w:t>
      </w:r>
      <w:proofErr w:type="gramEnd"/>
      <w:r w:rsidRPr="007E6CB4">
        <w:rPr>
          <w:rFonts w:ascii="仿宋" w:eastAsia="仿宋" w:hAnsi="仿宋" w:cs="仿宋" w:hint="eastAsia"/>
          <w:bCs/>
          <w:kern w:val="0"/>
          <w:sz w:val="32"/>
          <w:szCs w:val="32"/>
        </w:rPr>
        <w:t>完成《铁路旅客车站基坑工程安全监测与评估技术标准》（工作大纲）审核工作，并随函报送国家</w:t>
      </w:r>
      <w:proofErr w:type="gramStart"/>
      <w:r w:rsidRPr="007E6CB4">
        <w:rPr>
          <w:rFonts w:ascii="仿宋" w:eastAsia="仿宋" w:hAnsi="仿宋" w:cs="仿宋" w:hint="eastAsia"/>
          <w:bCs/>
          <w:kern w:val="0"/>
          <w:sz w:val="32"/>
          <w:szCs w:val="32"/>
        </w:rPr>
        <w:t>铁路局科法司</w:t>
      </w:r>
      <w:proofErr w:type="gramEnd"/>
      <w:r w:rsidRPr="007E6CB4">
        <w:rPr>
          <w:rFonts w:ascii="仿宋" w:eastAsia="仿宋" w:hAnsi="仿宋" w:cs="仿宋" w:hint="eastAsia"/>
          <w:bCs/>
          <w:kern w:val="0"/>
          <w:sz w:val="32"/>
          <w:szCs w:val="32"/>
        </w:rPr>
        <w:t>。2025年11月27日，国家</w:t>
      </w:r>
      <w:proofErr w:type="gramStart"/>
      <w:r w:rsidRPr="007E6CB4">
        <w:rPr>
          <w:rFonts w:ascii="仿宋" w:eastAsia="仿宋" w:hAnsi="仿宋" w:cs="仿宋" w:hint="eastAsia"/>
          <w:bCs/>
          <w:kern w:val="0"/>
          <w:sz w:val="32"/>
          <w:szCs w:val="32"/>
        </w:rPr>
        <w:t>铁路局科法司</w:t>
      </w:r>
      <w:proofErr w:type="gramEnd"/>
      <w:r w:rsidRPr="007E6CB4">
        <w:rPr>
          <w:rFonts w:ascii="仿宋" w:eastAsia="仿宋" w:hAnsi="仿宋" w:cs="仿宋" w:hint="eastAsia"/>
          <w:bCs/>
          <w:kern w:val="0"/>
          <w:sz w:val="32"/>
          <w:szCs w:val="32"/>
        </w:rPr>
        <w:t>组织召开了《铁路旅客车站基坑工程安全监测与评估技术标准》工作大纲审查会，形成《铁路旅客车站基坑工程安全监测与评估技术标准》工作大纲审查会专家意见。</w:t>
      </w:r>
    </w:p>
    <w:p w:rsidR="00D51D3A"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3．征求意见稿阶段。2025年12月至2026年6月，中铁建设组织编制完成《铁路旅客车站基坑工程安全监测与评估技术标准》（征求意见稿），并随函报送经</w:t>
      </w:r>
      <w:proofErr w:type="gramStart"/>
      <w:r w:rsidRPr="007E6CB4">
        <w:rPr>
          <w:rFonts w:ascii="仿宋" w:eastAsia="仿宋" w:hAnsi="仿宋" w:cs="仿宋" w:hint="eastAsia"/>
          <w:bCs/>
          <w:kern w:val="0"/>
          <w:sz w:val="32"/>
          <w:szCs w:val="32"/>
        </w:rPr>
        <w:t>规</w:t>
      </w:r>
      <w:proofErr w:type="gramEnd"/>
      <w:r w:rsidRPr="007E6CB4">
        <w:rPr>
          <w:rFonts w:ascii="仿宋" w:eastAsia="仿宋" w:hAnsi="仿宋" w:cs="仿宋" w:hint="eastAsia"/>
          <w:bCs/>
          <w:kern w:val="0"/>
          <w:sz w:val="32"/>
          <w:szCs w:val="32"/>
        </w:rPr>
        <w:t>院。</w:t>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3" w:name="_Toc235631395"/>
      <w:r>
        <w:rPr>
          <w:rFonts w:ascii="Times New Roman" w:eastAsia="黑体" w:hAnsi="Times New Roman" w:hint="eastAsia"/>
          <w:bCs/>
          <w:kern w:val="0"/>
          <w:sz w:val="32"/>
          <w:szCs w:val="32"/>
        </w:rPr>
        <w:t>四、主要编制（或修订）内容</w:t>
      </w:r>
      <w:bookmarkEnd w:id="3"/>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本标准共分6章，主要包括总则、术语、基本规定、监测内容与方法、数据采集与管理、预警与评估等。</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1.规定了编制目的及适用范围，明确了铁路旅客车站基坑工程安全监测与评估的基本原则和主要内容</w:t>
      </w:r>
      <w:r w:rsidRPr="007E6CB4">
        <w:rPr>
          <w:rFonts w:ascii="仿宋" w:eastAsia="仿宋" w:hAnsi="仿宋" w:cs="仿宋" w:hint="eastAsia"/>
          <w:bCs/>
          <w:kern w:val="0"/>
          <w:sz w:val="32"/>
          <w:szCs w:val="32"/>
        </w:rPr>
        <w:t>，包括监测工作步骤、</w:t>
      </w:r>
      <w:r w:rsidRPr="007E6CB4">
        <w:rPr>
          <w:rFonts w:ascii="仿宋" w:eastAsia="仿宋" w:hAnsi="仿宋" w:cs="仿宋" w:hint="eastAsia"/>
          <w:bCs/>
          <w:kern w:val="0"/>
          <w:sz w:val="32"/>
          <w:szCs w:val="32"/>
        </w:rPr>
        <w:lastRenderedPageBreak/>
        <w:t>监测方案、基坑工程监测范围、专项论证、自动化监测等相关基本要求。</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2.</w:t>
      </w:r>
      <w:bookmarkStart w:id="4" w:name="_Hlk234681163"/>
      <w:r w:rsidRPr="007E6CB4">
        <w:rPr>
          <w:rFonts w:ascii="仿宋" w:eastAsia="仿宋" w:hAnsi="仿宋" w:cs="仿宋"/>
          <w:bCs/>
          <w:kern w:val="0"/>
          <w:sz w:val="32"/>
          <w:szCs w:val="32"/>
        </w:rPr>
        <w:t xml:space="preserve"> 规定了铁路旅客车站基坑工程</w:t>
      </w:r>
      <w:r w:rsidRPr="007E6CB4">
        <w:rPr>
          <w:rFonts w:ascii="仿宋" w:eastAsia="仿宋" w:hAnsi="仿宋" w:cs="仿宋" w:hint="eastAsia"/>
          <w:bCs/>
          <w:kern w:val="0"/>
          <w:sz w:val="32"/>
          <w:szCs w:val="32"/>
        </w:rPr>
        <w:t>本体、涉铁路及城市轨道交通、周边环境</w:t>
      </w:r>
      <w:r w:rsidRPr="007E6CB4">
        <w:rPr>
          <w:rFonts w:ascii="仿宋" w:eastAsia="仿宋" w:hAnsi="仿宋" w:cs="仿宋"/>
          <w:bCs/>
          <w:kern w:val="0"/>
          <w:sz w:val="32"/>
          <w:szCs w:val="32"/>
        </w:rPr>
        <w:t>安全监测布点方法、设备选择与监测方法等技术要求。</w:t>
      </w:r>
      <w:r w:rsidRPr="007E6CB4">
        <w:rPr>
          <w:rFonts w:ascii="仿宋" w:eastAsia="仿宋" w:hAnsi="仿宋" w:cs="仿宋" w:hint="eastAsia"/>
          <w:bCs/>
          <w:kern w:val="0"/>
          <w:sz w:val="32"/>
          <w:szCs w:val="32"/>
        </w:rPr>
        <w:t>其中，基坑本体安全监测包括围护桩墙（边坡）顶部水平位移、围护桩墙（边坡）顶部竖向位移、立柱竖向位移、深层水平位移、锚杆（索）轴力、支撑轴力、围护桩墙内力、地下水位、围护桩墙侧向土压力、孔隙水压力、坑底隆起、分层竖向位移等安全监测；涉铁路及城市轨道交通安全监测包括周边既有轨道交通隧道结构、高架桥结构、地面线路基、整体道床或轨枕、其他附属结构等安全监测；周边环境</w:t>
      </w:r>
      <w:r w:rsidRPr="007E6CB4">
        <w:rPr>
          <w:rFonts w:ascii="仿宋" w:eastAsia="仿宋" w:hAnsi="仿宋" w:cs="仿宋"/>
          <w:bCs/>
          <w:kern w:val="0"/>
          <w:sz w:val="32"/>
          <w:szCs w:val="32"/>
        </w:rPr>
        <w:t>安全</w:t>
      </w:r>
      <w:r w:rsidRPr="007E6CB4">
        <w:rPr>
          <w:rFonts w:ascii="仿宋" w:eastAsia="仿宋" w:hAnsi="仿宋" w:cs="仿宋" w:hint="eastAsia"/>
          <w:bCs/>
          <w:kern w:val="0"/>
          <w:sz w:val="32"/>
          <w:szCs w:val="32"/>
        </w:rPr>
        <w:t>包括倾斜、裂缝、振动速度和振动加速度、周边其他建（构）筑物监测、重要管线、周边城市道路及高速公路等安全监测</w:t>
      </w:r>
      <w:r w:rsidRPr="007E6CB4">
        <w:rPr>
          <w:rFonts w:ascii="仿宋" w:eastAsia="仿宋" w:hAnsi="仿宋" w:cs="仿宋"/>
          <w:bCs/>
          <w:kern w:val="0"/>
          <w:sz w:val="32"/>
          <w:szCs w:val="32"/>
        </w:rPr>
        <w:t>。</w:t>
      </w:r>
      <w:bookmarkEnd w:id="4"/>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3.规定了铁路旅客车站基坑工程安全监测的数据采集与管理的技术要求</w:t>
      </w:r>
      <w:r w:rsidRPr="007E6CB4">
        <w:rPr>
          <w:rFonts w:ascii="仿宋" w:eastAsia="仿宋" w:hAnsi="仿宋" w:cs="仿宋" w:hint="eastAsia"/>
          <w:bCs/>
          <w:kern w:val="0"/>
          <w:sz w:val="32"/>
          <w:szCs w:val="32"/>
        </w:rPr>
        <w:t>。数据采集包括采样频率、采集方案、采集站布置、数据传输等方面技术要求；数据管理包括监测信息导入、图形或文件形式导出数据、历史监测信息查询、数据库架构及功能等方面技术要求。</w:t>
      </w:r>
    </w:p>
    <w:p w:rsidR="00D51D3A"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4.规定了铁路旅客车站基坑工程安全评估的分级预警与评估处置的技术要求</w:t>
      </w:r>
      <w:r w:rsidRPr="007E6CB4">
        <w:rPr>
          <w:rFonts w:ascii="仿宋" w:eastAsia="仿宋" w:hAnsi="仿宋" w:cs="仿宋" w:hint="eastAsia"/>
          <w:bCs/>
          <w:kern w:val="0"/>
          <w:sz w:val="32"/>
          <w:szCs w:val="32"/>
        </w:rPr>
        <w:t>，包括基坑工程安全风险等级初评标准、基坑工程风险等级动态调整标准、基坑监测预警等级、施工安全风险静态评估、安全风险动态评估等方面技术要求。</w:t>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5" w:name="_Toc235631396"/>
      <w:r>
        <w:rPr>
          <w:rFonts w:ascii="Times New Roman" w:eastAsia="黑体" w:hAnsi="Times New Roman" w:hint="eastAsia"/>
          <w:bCs/>
          <w:kern w:val="0"/>
          <w:sz w:val="32"/>
          <w:szCs w:val="32"/>
        </w:rPr>
        <w:lastRenderedPageBreak/>
        <w:t>五、工作大纲审查会专家意见执行情况</w:t>
      </w:r>
      <w:bookmarkEnd w:id="5"/>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2025年11月27日，国家铁路局</w:t>
      </w:r>
      <w:r w:rsidRPr="007E6CB4">
        <w:rPr>
          <w:rFonts w:ascii="仿宋" w:eastAsia="仿宋" w:hAnsi="仿宋" w:cs="仿宋" w:hint="eastAsia"/>
          <w:bCs/>
          <w:kern w:val="0"/>
          <w:sz w:val="32"/>
          <w:szCs w:val="32"/>
        </w:rPr>
        <w:t>科技与法制司</w:t>
      </w:r>
      <w:r w:rsidRPr="007E6CB4">
        <w:rPr>
          <w:rFonts w:ascii="仿宋" w:eastAsia="仿宋" w:hAnsi="仿宋" w:cs="仿宋"/>
          <w:bCs/>
          <w:kern w:val="0"/>
          <w:sz w:val="32"/>
          <w:szCs w:val="32"/>
        </w:rPr>
        <w:t>在北京组织召开了《铁路旅客车站基坑工程安全监测与评估技术标准》工作大纲审查会，执行情况如下：</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 xml:space="preserve">1. </w:t>
      </w:r>
      <w:bookmarkStart w:id="6" w:name="_Hlk234682273"/>
      <w:r w:rsidRPr="007E6CB4">
        <w:rPr>
          <w:rFonts w:ascii="仿宋" w:eastAsia="仿宋" w:hAnsi="仿宋" w:cs="仿宋"/>
          <w:bCs/>
          <w:kern w:val="0"/>
          <w:sz w:val="32"/>
          <w:szCs w:val="32"/>
        </w:rPr>
        <w:t>第4章名称改为“监测项目与方法”，</w:t>
      </w:r>
      <w:r w:rsidRPr="007E6CB4">
        <w:rPr>
          <w:rFonts w:ascii="仿宋" w:eastAsia="仿宋" w:hAnsi="仿宋" w:cs="仿宋" w:hint="eastAsia"/>
          <w:bCs/>
          <w:kern w:val="0"/>
          <w:sz w:val="32"/>
          <w:szCs w:val="32"/>
        </w:rPr>
        <w:t>为征求意见稿第4章，</w:t>
      </w:r>
      <w:r w:rsidRPr="007E6CB4">
        <w:rPr>
          <w:rFonts w:ascii="仿宋" w:eastAsia="仿宋" w:hAnsi="仿宋" w:cs="仿宋"/>
          <w:bCs/>
          <w:kern w:val="0"/>
          <w:sz w:val="32"/>
          <w:szCs w:val="32"/>
        </w:rPr>
        <w:t>分为一般规定、基坑本体监测、涉铁路及城市轨道交通监测、周边环境监测4节。</w:t>
      </w:r>
      <w:r w:rsidRPr="007E6CB4">
        <w:rPr>
          <w:rFonts w:ascii="仿宋" w:eastAsia="仿宋" w:hAnsi="仿宋" w:cs="仿宋" w:hint="eastAsia"/>
          <w:bCs/>
          <w:kern w:val="0"/>
          <w:sz w:val="32"/>
          <w:szCs w:val="32"/>
        </w:rPr>
        <w:t>其中，基坑本体安全监测包括基坑支护结构水平位移、竖向位移、深层水平位移、支护结构内力、地下水位、倾斜、裂缝、岩土体等安全监测；涉铁路安全监测包括周边干线、城际及市域铁路、城市轨道交通等安全监测；周边环境</w:t>
      </w:r>
      <w:r w:rsidRPr="007E6CB4">
        <w:rPr>
          <w:rFonts w:ascii="仿宋" w:eastAsia="仿宋" w:hAnsi="仿宋" w:cs="仿宋"/>
          <w:bCs/>
          <w:kern w:val="0"/>
          <w:sz w:val="32"/>
          <w:szCs w:val="32"/>
        </w:rPr>
        <w:t>安全</w:t>
      </w:r>
      <w:r w:rsidRPr="007E6CB4">
        <w:rPr>
          <w:rFonts w:ascii="仿宋" w:eastAsia="仿宋" w:hAnsi="仿宋" w:cs="仿宋" w:hint="eastAsia"/>
          <w:bCs/>
          <w:kern w:val="0"/>
          <w:sz w:val="32"/>
          <w:szCs w:val="32"/>
        </w:rPr>
        <w:t>包括周边其他建（构）筑物监测、重要管线等安全监测。</w:t>
      </w:r>
      <w:bookmarkEnd w:id="6"/>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 xml:space="preserve">2. </w:t>
      </w:r>
      <w:bookmarkStart w:id="7" w:name="_Hlk234681437"/>
      <w:r w:rsidRPr="007E6CB4">
        <w:rPr>
          <w:rFonts w:ascii="仿宋" w:eastAsia="仿宋" w:hAnsi="仿宋" w:cs="仿宋" w:hint="eastAsia"/>
          <w:bCs/>
          <w:kern w:val="0"/>
          <w:sz w:val="32"/>
          <w:szCs w:val="32"/>
        </w:rPr>
        <w:t>删除第5章“监测设备安装与防护”，将原第5章“5.1 一般规定”、“5.2 传感器安装与防护”、“5.3 采集设备安装与防护”、“5.4 信号线及电缆安装与防护”部分内容放入征求意见稿第3章“基本规定”。</w:t>
      </w:r>
      <w:bookmarkEnd w:id="7"/>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 xml:space="preserve">3. </w:t>
      </w:r>
      <w:bookmarkStart w:id="8" w:name="_Hlk234682293"/>
      <w:r w:rsidRPr="007E6CB4">
        <w:rPr>
          <w:rFonts w:ascii="仿宋" w:eastAsia="仿宋" w:hAnsi="仿宋" w:cs="仿宋"/>
          <w:bCs/>
          <w:kern w:val="0"/>
          <w:sz w:val="32"/>
          <w:szCs w:val="32"/>
        </w:rPr>
        <w:t>第6章</w:t>
      </w:r>
      <w:r w:rsidRPr="007E6CB4">
        <w:rPr>
          <w:rFonts w:ascii="仿宋" w:eastAsia="仿宋" w:hAnsi="仿宋" w:cs="仿宋" w:hint="eastAsia"/>
          <w:bCs/>
          <w:kern w:val="0"/>
          <w:sz w:val="32"/>
          <w:szCs w:val="32"/>
        </w:rPr>
        <w:t>“数据采集与传输”</w:t>
      </w:r>
      <w:r w:rsidRPr="007E6CB4">
        <w:rPr>
          <w:rFonts w:ascii="仿宋" w:eastAsia="仿宋" w:hAnsi="仿宋" w:cs="仿宋"/>
          <w:bCs/>
          <w:kern w:val="0"/>
          <w:sz w:val="32"/>
          <w:szCs w:val="32"/>
        </w:rPr>
        <w:t>与第7章</w:t>
      </w:r>
      <w:r w:rsidRPr="007E6CB4">
        <w:rPr>
          <w:rFonts w:ascii="仿宋" w:eastAsia="仿宋" w:hAnsi="仿宋" w:cs="仿宋" w:hint="eastAsia"/>
          <w:bCs/>
          <w:kern w:val="0"/>
          <w:sz w:val="32"/>
          <w:szCs w:val="32"/>
        </w:rPr>
        <w:t>“数据管理与预警”</w:t>
      </w:r>
      <w:r w:rsidRPr="007E6CB4">
        <w:rPr>
          <w:rFonts w:ascii="仿宋" w:eastAsia="仿宋" w:hAnsi="仿宋" w:cs="仿宋"/>
          <w:bCs/>
          <w:kern w:val="0"/>
          <w:sz w:val="32"/>
          <w:szCs w:val="32"/>
        </w:rPr>
        <w:t>合并</w:t>
      </w:r>
      <w:r w:rsidRPr="007E6CB4">
        <w:rPr>
          <w:rFonts w:ascii="仿宋" w:eastAsia="仿宋" w:hAnsi="仿宋" w:cs="仿宋" w:hint="eastAsia"/>
          <w:bCs/>
          <w:kern w:val="0"/>
          <w:sz w:val="32"/>
          <w:szCs w:val="32"/>
        </w:rPr>
        <w:t>，改为征求意见稿第5章</w:t>
      </w:r>
      <w:r w:rsidRPr="007E6CB4">
        <w:rPr>
          <w:rFonts w:ascii="仿宋" w:eastAsia="仿宋" w:hAnsi="仿宋" w:cs="仿宋"/>
          <w:bCs/>
          <w:kern w:val="0"/>
          <w:sz w:val="32"/>
          <w:szCs w:val="32"/>
        </w:rPr>
        <w:t>“数据采集与管理”</w:t>
      </w:r>
      <w:r w:rsidRPr="007E6CB4">
        <w:rPr>
          <w:rFonts w:ascii="仿宋" w:eastAsia="仿宋" w:hAnsi="仿宋" w:cs="仿宋" w:hint="eastAsia"/>
          <w:bCs/>
          <w:kern w:val="0"/>
          <w:sz w:val="32"/>
          <w:szCs w:val="32"/>
        </w:rPr>
        <w:t>，</w:t>
      </w:r>
      <w:r w:rsidRPr="007E6CB4">
        <w:rPr>
          <w:rFonts w:ascii="仿宋" w:eastAsia="仿宋" w:hAnsi="仿宋" w:cs="仿宋"/>
          <w:bCs/>
          <w:kern w:val="0"/>
          <w:sz w:val="32"/>
          <w:szCs w:val="32"/>
        </w:rPr>
        <w:t>分为一般规定、数据采集、数据管理3节。</w:t>
      </w:r>
      <w:bookmarkEnd w:id="8"/>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 xml:space="preserve">4. </w:t>
      </w:r>
      <w:bookmarkStart w:id="9" w:name="_Hlk234682390"/>
      <w:r w:rsidRPr="007E6CB4">
        <w:rPr>
          <w:rFonts w:ascii="仿宋" w:eastAsia="仿宋" w:hAnsi="仿宋" w:cs="仿宋"/>
          <w:bCs/>
          <w:kern w:val="0"/>
          <w:sz w:val="32"/>
          <w:szCs w:val="32"/>
        </w:rPr>
        <w:t>第8章名称改为</w:t>
      </w:r>
      <w:r w:rsidRPr="007E6CB4">
        <w:rPr>
          <w:rFonts w:ascii="仿宋" w:eastAsia="仿宋" w:hAnsi="仿宋" w:cs="仿宋" w:hint="eastAsia"/>
          <w:bCs/>
          <w:kern w:val="0"/>
          <w:sz w:val="32"/>
          <w:szCs w:val="32"/>
        </w:rPr>
        <w:t>“</w:t>
      </w:r>
      <w:r w:rsidRPr="007E6CB4">
        <w:rPr>
          <w:rFonts w:ascii="仿宋" w:eastAsia="仿宋" w:hAnsi="仿宋" w:cs="仿宋"/>
          <w:bCs/>
          <w:kern w:val="0"/>
          <w:sz w:val="32"/>
          <w:szCs w:val="32"/>
        </w:rPr>
        <w:t>预警与评估</w:t>
      </w:r>
      <w:r w:rsidRPr="007E6CB4">
        <w:rPr>
          <w:rFonts w:ascii="仿宋" w:eastAsia="仿宋" w:hAnsi="仿宋" w:cs="仿宋" w:hint="eastAsia"/>
          <w:bCs/>
          <w:kern w:val="0"/>
          <w:sz w:val="32"/>
          <w:szCs w:val="32"/>
        </w:rPr>
        <w:t>”</w:t>
      </w:r>
      <w:r w:rsidRPr="007E6CB4">
        <w:rPr>
          <w:rFonts w:ascii="仿宋" w:eastAsia="仿宋" w:hAnsi="仿宋" w:cs="仿宋"/>
          <w:bCs/>
          <w:kern w:val="0"/>
          <w:sz w:val="32"/>
          <w:szCs w:val="32"/>
        </w:rPr>
        <w:t>，</w:t>
      </w:r>
      <w:r w:rsidRPr="007E6CB4">
        <w:rPr>
          <w:rFonts w:ascii="仿宋" w:eastAsia="仿宋" w:hAnsi="仿宋" w:cs="仿宋" w:hint="eastAsia"/>
          <w:bCs/>
          <w:kern w:val="0"/>
          <w:sz w:val="32"/>
          <w:szCs w:val="32"/>
        </w:rPr>
        <w:t>改为征求意见稿第6章，</w:t>
      </w:r>
      <w:r w:rsidRPr="007E6CB4">
        <w:rPr>
          <w:rFonts w:ascii="仿宋" w:eastAsia="仿宋" w:hAnsi="仿宋" w:cs="仿宋"/>
          <w:bCs/>
          <w:kern w:val="0"/>
          <w:sz w:val="32"/>
          <w:szCs w:val="32"/>
        </w:rPr>
        <w:t>分为一般规定、风险分级、风险预警、安全评估4节。</w:t>
      </w:r>
      <w:bookmarkEnd w:id="9"/>
    </w:p>
    <w:p w:rsidR="00D51D3A" w:rsidRDefault="007E6CB4" w:rsidP="007E6CB4">
      <w:pPr>
        <w:adjustRightInd w:val="0"/>
        <w:snapToGrid w:val="0"/>
        <w:spacing w:line="560" w:lineRule="exact"/>
        <w:ind w:firstLineChars="200" w:firstLine="640"/>
        <w:rPr>
          <w:rFonts w:ascii="Times New Roman" w:eastAsia="黑体" w:hAnsi="Times New Roman"/>
          <w:bCs/>
          <w:kern w:val="0"/>
          <w:sz w:val="32"/>
          <w:szCs w:val="32"/>
        </w:rPr>
      </w:pPr>
      <w:r w:rsidRPr="007E6CB4">
        <w:rPr>
          <w:rFonts w:ascii="仿宋" w:eastAsia="仿宋" w:hAnsi="仿宋" w:cs="仿宋"/>
          <w:bCs/>
          <w:kern w:val="0"/>
          <w:sz w:val="32"/>
          <w:szCs w:val="32"/>
        </w:rPr>
        <w:t>5.</w:t>
      </w:r>
      <w:r w:rsidRPr="007E6CB4">
        <w:rPr>
          <w:rFonts w:ascii="仿宋" w:eastAsia="仿宋" w:hAnsi="仿宋" w:cs="仿宋" w:hint="eastAsia"/>
          <w:bCs/>
          <w:kern w:val="0"/>
          <w:sz w:val="32"/>
          <w:szCs w:val="32"/>
        </w:rPr>
        <w:t>删除第9章“监测平台”，原第9章“数据采集”、“数据处理及分析”、“预警及消警管理”、“预警分发、推送”</w:t>
      </w:r>
      <w:r w:rsidRPr="007E6CB4">
        <w:rPr>
          <w:rFonts w:ascii="仿宋" w:eastAsia="仿宋" w:hAnsi="仿宋" w:cs="仿宋"/>
          <w:bCs/>
          <w:kern w:val="0"/>
          <w:sz w:val="32"/>
          <w:szCs w:val="32"/>
        </w:rPr>
        <w:t>部</w:t>
      </w:r>
      <w:r w:rsidRPr="007E6CB4">
        <w:rPr>
          <w:rFonts w:ascii="仿宋" w:eastAsia="仿宋" w:hAnsi="仿宋" w:cs="仿宋"/>
          <w:bCs/>
          <w:kern w:val="0"/>
          <w:sz w:val="32"/>
          <w:szCs w:val="32"/>
        </w:rPr>
        <w:lastRenderedPageBreak/>
        <w:t>分内容放入第3章。</w:t>
      </w:r>
    </w:p>
    <w:p w:rsidR="00D51D3A" w:rsidRDefault="0026578D" w:rsidP="00D73BD8">
      <w:pPr>
        <w:adjustRightInd w:val="0"/>
        <w:snapToGrid w:val="0"/>
        <w:spacing w:line="560" w:lineRule="exact"/>
        <w:ind w:firstLineChars="200" w:firstLine="640"/>
        <w:outlineLvl w:val="0"/>
        <w:rPr>
          <w:rFonts w:ascii="Times New Roman" w:eastAsia="黑体" w:hAnsi="Times New Roman"/>
          <w:bCs/>
          <w:kern w:val="0"/>
          <w:sz w:val="32"/>
          <w:szCs w:val="32"/>
        </w:rPr>
      </w:pPr>
      <w:bookmarkStart w:id="10" w:name="_Toc235631397"/>
      <w:r>
        <w:rPr>
          <w:rFonts w:ascii="Times New Roman" w:eastAsia="黑体" w:hAnsi="Times New Roman" w:hint="eastAsia"/>
          <w:bCs/>
          <w:kern w:val="0"/>
          <w:sz w:val="32"/>
          <w:szCs w:val="32"/>
        </w:rPr>
        <w:t>六、与相关标准协调情况</w:t>
      </w:r>
      <w:bookmarkEnd w:id="10"/>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与国家、铁路现行规范无交叉、重复和矛盾。</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主要引用和参考标准如下：</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bookmarkStart w:id="11" w:name="_Toc29736_WPSOffice_Level1"/>
      <w:bookmarkStart w:id="12" w:name="_Toc29689_WPSOffice_Level1"/>
      <w:r w:rsidRPr="007E6CB4">
        <w:rPr>
          <w:rFonts w:ascii="仿宋" w:eastAsia="仿宋" w:hAnsi="仿宋" w:cs="仿宋" w:hint="eastAsia"/>
          <w:bCs/>
          <w:kern w:val="0"/>
          <w:sz w:val="32"/>
          <w:szCs w:val="32"/>
        </w:rPr>
        <w:t>《爆破安全规程》</w:t>
      </w:r>
      <w:r w:rsidRPr="007E6CB4">
        <w:rPr>
          <w:rFonts w:ascii="仿宋" w:eastAsia="仿宋" w:hAnsi="仿宋" w:cs="仿宋"/>
          <w:bCs/>
          <w:kern w:val="0"/>
          <w:sz w:val="32"/>
          <w:szCs w:val="32"/>
        </w:rPr>
        <w:t>GB 6722</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bCs/>
          <w:kern w:val="0"/>
          <w:sz w:val="32"/>
          <w:szCs w:val="32"/>
        </w:rPr>
        <w:t>《全球导航卫星系统（GNSS）测量规范》GB/T 18314</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《工程测量规范》</w:t>
      </w:r>
      <w:r w:rsidRPr="007E6CB4">
        <w:rPr>
          <w:rFonts w:ascii="仿宋" w:eastAsia="仿宋" w:hAnsi="仿宋" w:cs="仿宋"/>
          <w:bCs/>
          <w:kern w:val="0"/>
          <w:sz w:val="32"/>
          <w:szCs w:val="32"/>
        </w:rPr>
        <w:t>GB 50026</w:t>
      </w:r>
      <w:bookmarkStart w:id="13" w:name="_Toc3075_WPSOffice_Level1"/>
      <w:bookmarkStart w:id="14" w:name="_Toc31456_WPSOffice_Level1"/>
      <w:bookmarkEnd w:id="11"/>
      <w:bookmarkEnd w:id="12"/>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《建筑基坑工程监测技术标准》</w:t>
      </w:r>
      <w:r w:rsidRPr="007E6CB4">
        <w:rPr>
          <w:rFonts w:ascii="仿宋" w:eastAsia="仿宋" w:hAnsi="仿宋" w:cs="仿宋"/>
          <w:bCs/>
          <w:kern w:val="0"/>
          <w:sz w:val="32"/>
          <w:szCs w:val="32"/>
        </w:rPr>
        <w:t>GB 50497</w:t>
      </w:r>
      <w:bookmarkEnd w:id="13"/>
      <w:bookmarkEnd w:id="14"/>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《城市轨道交通工程监测技术规范》</w:t>
      </w:r>
      <w:r w:rsidRPr="007E6CB4">
        <w:rPr>
          <w:rFonts w:ascii="仿宋" w:eastAsia="仿宋" w:hAnsi="仿宋" w:cs="仿宋"/>
          <w:bCs/>
          <w:kern w:val="0"/>
          <w:sz w:val="32"/>
          <w:szCs w:val="32"/>
        </w:rPr>
        <w:t>GB50911</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bookmarkStart w:id="15" w:name="_Toc25836_WPSOffice_Level1"/>
      <w:bookmarkStart w:id="16" w:name="_Toc6117_WPSOffice_Level1"/>
      <w:r w:rsidRPr="007E6CB4">
        <w:rPr>
          <w:rFonts w:ascii="仿宋" w:eastAsia="仿宋" w:hAnsi="仿宋" w:cs="仿宋" w:hint="eastAsia"/>
          <w:bCs/>
          <w:kern w:val="0"/>
          <w:sz w:val="32"/>
          <w:szCs w:val="32"/>
        </w:rPr>
        <w:t>《建筑与市政地基基础通用规范》</w:t>
      </w:r>
      <w:bookmarkEnd w:id="15"/>
      <w:bookmarkEnd w:id="16"/>
      <w:r w:rsidRPr="007E6CB4">
        <w:rPr>
          <w:rFonts w:ascii="仿宋" w:eastAsia="仿宋" w:hAnsi="仿宋" w:cs="仿宋"/>
          <w:bCs/>
          <w:kern w:val="0"/>
          <w:sz w:val="32"/>
          <w:szCs w:val="32"/>
        </w:rPr>
        <w:t>GB55003</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《城市轨道交通结构安全保护技术规范》</w:t>
      </w:r>
      <w:r w:rsidRPr="007E6CB4">
        <w:rPr>
          <w:rFonts w:ascii="仿宋" w:eastAsia="仿宋" w:hAnsi="仿宋" w:cs="仿宋"/>
          <w:bCs/>
          <w:kern w:val="0"/>
          <w:sz w:val="32"/>
          <w:szCs w:val="32"/>
        </w:rPr>
        <w:t>CJJT 202</w:t>
      </w:r>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《建筑基坑支护技术规程》</w:t>
      </w:r>
      <w:r w:rsidRPr="007E6CB4">
        <w:rPr>
          <w:rFonts w:ascii="仿宋" w:eastAsia="仿宋" w:hAnsi="仿宋" w:cs="仿宋"/>
          <w:bCs/>
          <w:kern w:val="0"/>
          <w:sz w:val="32"/>
          <w:szCs w:val="32"/>
        </w:rPr>
        <w:t>JGJ 120</w:t>
      </w:r>
      <w:bookmarkStart w:id="17" w:name="_Toc32629_WPSOffice_Level1"/>
      <w:bookmarkStart w:id="18" w:name="_Toc10163_WPSOffice_Level1"/>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《建筑深基坑工程施工安全技术规范》</w:t>
      </w:r>
      <w:r w:rsidRPr="007E6CB4">
        <w:rPr>
          <w:rFonts w:ascii="仿宋" w:eastAsia="仿宋" w:hAnsi="仿宋" w:cs="仿宋"/>
          <w:bCs/>
          <w:kern w:val="0"/>
          <w:sz w:val="32"/>
          <w:szCs w:val="32"/>
        </w:rPr>
        <w:t>JGJ 311</w:t>
      </w:r>
      <w:bookmarkEnd w:id="17"/>
      <w:bookmarkEnd w:id="18"/>
    </w:p>
    <w:p w:rsidR="007E6CB4"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《铁路工程测量规范》</w:t>
      </w:r>
      <w:r w:rsidRPr="007E6CB4">
        <w:rPr>
          <w:rFonts w:ascii="仿宋" w:eastAsia="仿宋" w:hAnsi="仿宋" w:cs="仿宋"/>
          <w:bCs/>
          <w:kern w:val="0"/>
          <w:sz w:val="32"/>
          <w:szCs w:val="32"/>
        </w:rPr>
        <w:t>TB 10101</w:t>
      </w:r>
    </w:p>
    <w:p w:rsidR="00D51D3A" w:rsidRPr="007E6CB4" w:rsidRDefault="007E6CB4" w:rsidP="007E6CB4">
      <w:pPr>
        <w:adjustRightInd w:val="0"/>
        <w:snapToGrid w:val="0"/>
        <w:spacing w:line="560" w:lineRule="exact"/>
        <w:ind w:firstLineChars="200" w:firstLine="640"/>
        <w:rPr>
          <w:rFonts w:ascii="仿宋" w:eastAsia="仿宋" w:hAnsi="仿宋" w:cs="仿宋"/>
          <w:bCs/>
          <w:kern w:val="0"/>
          <w:sz w:val="32"/>
          <w:szCs w:val="32"/>
        </w:rPr>
      </w:pPr>
      <w:r w:rsidRPr="007E6CB4">
        <w:rPr>
          <w:rFonts w:ascii="仿宋" w:eastAsia="仿宋" w:hAnsi="仿宋" w:cs="仿宋" w:hint="eastAsia"/>
          <w:bCs/>
          <w:kern w:val="0"/>
          <w:sz w:val="32"/>
          <w:szCs w:val="32"/>
        </w:rPr>
        <w:t>《</w:t>
      </w:r>
      <w:hyperlink r:id="rId8" w:tooltip="邻近铁路营业线施工安全监测技术规程" w:history="1">
        <w:r w:rsidRPr="007E6CB4">
          <w:rPr>
            <w:rFonts w:ascii="仿宋" w:eastAsia="仿宋" w:hAnsi="仿宋" w:cs="仿宋" w:hint="eastAsia"/>
            <w:bCs/>
            <w:kern w:val="0"/>
            <w:sz w:val="32"/>
            <w:szCs w:val="32"/>
          </w:rPr>
          <w:t>邻近铁路营业线施工安全监测技术规程</w:t>
        </w:r>
      </w:hyperlink>
      <w:r w:rsidRPr="007E6CB4">
        <w:rPr>
          <w:rFonts w:ascii="仿宋" w:eastAsia="仿宋" w:hAnsi="仿宋" w:cs="仿宋" w:hint="eastAsia"/>
          <w:bCs/>
          <w:kern w:val="0"/>
          <w:sz w:val="32"/>
          <w:szCs w:val="32"/>
        </w:rPr>
        <w:t>》</w:t>
      </w:r>
      <w:bookmarkStart w:id="19" w:name="_Toc29181_WPSOffice_Level1"/>
      <w:bookmarkStart w:id="20" w:name="_Toc8457_WPSOffice_Level1"/>
      <w:r w:rsidRPr="007E6CB4">
        <w:rPr>
          <w:rFonts w:ascii="仿宋" w:eastAsia="仿宋" w:hAnsi="仿宋" w:cs="仿宋"/>
          <w:bCs/>
          <w:kern w:val="0"/>
          <w:sz w:val="32"/>
          <w:szCs w:val="32"/>
        </w:rPr>
        <w:t>TB 10314</w:t>
      </w:r>
      <w:bookmarkEnd w:id="19"/>
      <w:bookmarkEnd w:id="20"/>
    </w:p>
    <w:p w:rsidR="00D51D3A" w:rsidRDefault="00D51D3A" w:rsidP="00D73BD8">
      <w:pPr>
        <w:spacing w:line="560" w:lineRule="exact"/>
        <w:ind w:firstLineChars="200" w:firstLine="640"/>
        <w:rPr>
          <w:rFonts w:ascii="Times New Roman" w:eastAsia="黑体" w:hAnsi="Times New Roman"/>
          <w:bCs/>
          <w:kern w:val="0"/>
          <w:sz w:val="32"/>
          <w:szCs w:val="32"/>
        </w:rPr>
      </w:pPr>
    </w:p>
    <w:sectPr w:rsidR="00D51D3A" w:rsidSect="00AD5C6B">
      <w:footerReference w:type="default" r:id="rId9"/>
      <w:pgSz w:w="11906" w:h="16838"/>
      <w:pgMar w:top="2098" w:right="1474" w:bottom="1985"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89A" w:rsidRDefault="0045789A">
      <w:r>
        <w:separator/>
      </w:r>
    </w:p>
  </w:endnote>
  <w:endnote w:type="continuationSeparator" w:id="0">
    <w:p w:rsidR="0045789A" w:rsidRDefault="004578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ejaVu Sans">
    <w:altName w:val="Arial Unicode MS"/>
    <w:charset w:val="00"/>
    <w:family w:val="roman"/>
    <w:pitch w:val="default"/>
    <w:sig w:usb0="00000000" w:usb1="D200FDFF" w:usb2="0A246029" w:usb3="0400200C" w:csb0="600001FF" w:csb1="DFFF0000"/>
  </w:font>
  <w:font w:name="方正黑体_GBK">
    <w:altName w:val="Arial Unicode MS"/>
    <w:charset w:val="86"/>
    <w:family w:val="auto"/>
    <w:pitch w:val="default"/>
    <w:sig w:usb0="00000000" w:usb1="08000000" w:usb2="0000000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D3A" w:rsidRDefault="00D51D3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D3A" w:rsidRDefault="00DC61CD">
    <w:pPr>
      <w:pStyle w:val="a3"/>
    </w:pPr>
    <w:r>
      <w:rPr>
        <w:noProof/>
      </w:rPr>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D51D3A" w:rsidRDefault="00DC61CD">
                <w:pPr>
                  <w:pStyle w:val="a3"/>
                  <w:rPr>
                    <w:rFonts w:ascii="Times New Roman" w:hAnsi="Times New Roman"/>
                    <w:sz w:val="24"/>
                  </w:rPr>
                </w:pPr>
                <w:r>
                  <w:rPr>
                    <w:rFonts w:ascii="Times New Roman" w:hAnsi="Times New Roman"/>
                    <w:sz w:val="24"/>
                  </w:rPr>
                  <w:fldChar w:fldCharType="begin"/>
                </w:r>
                <w:r w:rsidR="0026578D">
                  <w:rPr>
                    <w:rFonts w:ascii="Times New Roman" w:hAnsi="Times New Roman"/>
                    <w:sz w:val="24"/>
                  </w:rPr>
                  <w:instrText xml:space="preserve"> PAGE  \* MERGEFORMAT </w:instrText>
                </w:r>
                <w:r>
                  <w:rPr>
                    <w:rFonts w:ascii="Times New Roman" w:hAnsi="Times New Roman"/>
                    <w:sz w:val="24"/>
                  </w:rPr>
                  <w:fldChar w:fldCharType="separate"/>
                </w:r>
                <w:r w:rsidR="00C71689">
                  <w:rPr>
                    <w:rFonts w:ascii="Times New Roman" w:hAnsi="Times New Roman"/>
                    <w:noProof/>
                    <w:sz w:val="24"/>
                  </w:rPr>
                  <w:t>1</w:t>
                </w:r>
                <w:r>
                  <w:rPr>
                    <w:rFonts w:ascii="Times New Roman" w:hAnsi="Times New Roman"/>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89A" w:rsidRDefault="0045789A">
      <w:r>
        <w:separator/>
      </w:r>
    </w:p>
  </w:footnote>
  <w:footnote w:type="continuationSeparator" w:id="0">
    <w:p w:rsidR="0045789A" w:rsidRDefault="004578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3BF84E4"/>
    <w:rsid w:val="B790384C"/>
    <w:rsid w:val="D7FE8829"/>
    <w:rsid w:val="EB7F36C7"/>
    <w:rsid w:val="FF76A29B"/>
    <w:rsid w:val="000D52F1"/>
    <w:rsid w:val="0015149C"/>
    <w:rsid w:val="0025767B"/>
    <w:rsid w:val="0026578D"/>
    <w:rsid w:val="0045789A"/>
    <w:rsid w:val="004878D4"/>
    <w:rsid w:val="004E5FB7"/>
    <w:rsid w:val="006522B4"/>
    <w:rsid w:val="007E6CB4"/>
    <w:rsid w:val="00854E66"/>
    <w:rsid w:val="008C64E9"/>
    <w:rsid w:val="00975B1E"/>
    <w:rsid w:val="00AD5C6B"/>
    <w:rsid w:val="00C71689"/>
    <w:rsid w:val="00C803B1"/>
    <w:rsid w:val="00D27173"/>
    <w:rsid w:val="00D37969"/>
    <w:rsid w:val="00D51D3A"/>
    <w:rsid w:val="00D73BD8"/>
    <w:rsid w:val="00D9251C"/>
    <w:rsid w:val="00DC61CD"/>
    <w:rsid w:val="00DF1F2A"/>
    <w:rsid w:val="00F2581B"/>
    <w:rsid w:val="00FE1D8A"/>
    <w:rsid w:val="537B5DE1"/>
    <w:rsid w:val="537F0F8E"/>
    <w:rsid w:val="5DEB93CB"/>
    <w:rsid w:val="6DCFB8A3"/>
    <w:rsid w:val="6DFF4EF1"/>
    <w:rsid w:val="73BF84E4"/>
    <w:rsid w:val="766B731D"/>
    <w:rsid w:val="77EF30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1C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C61CD"/>
    <w:pPr>
      <w:tabs>
        <w:tab w:val="center" w:pos="4153"/>
        <w:tab w:val="right" w:pos="8306"/>
      </w:tabs>
      <w:snapToGrid w:val="0"/>
      <w:jc w:val="left"/>
    </w:pPr>
    <w:rPr>
      <w:sz w:val="18"/>
    </w:rPr>
  </w:style>
  <w:style w:type="paragraph" w:styleId="a4">
    <w:name w:val="header"/>
    <w:basedOn w:val="a"/>
    <w:qFormat/>
    <w:rsid w:val="00DC61C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next w:val="a"/>
    <w:uiPriority w:val="39"/>
    <w:unhideWhenUsed/>
    <w:qFormat/>
    <w:rsid w:val="00DC61CD"/>
    <w:pPr>
      <w:widowControl w:val="0"/>
      <w:tabs>
        <w:tab w:val="right" w:leader="dot" w:pos="8835"/>
      </w:tabs>
      <w:adjustRightInd w:val="0"/>
      <w:snapToGrid w:val="0"/>
      <w:spacing w:line="408" w:lineRule="auto"/>
      <w:jc w:val="both"/>
    </w:pPr>
    <w:rPr>
      <w:rFonts w:ascii="黑体" w:eastAsia="黑体" w:hAnsi="黑体"/>
      <w:kern w:val="2"/>
      <w:sz w:val="28"/>
      <w:szCs w:val="28"/>
    </w:rPr>
  </w:style>
  <w:style w:type="character" w:styleId="a5">
    <w:name w:val="Hyperlink"/>
    <w:uiPriority w:val="99"/>
    <w:unhideWhenUsed/>
    <w:qFormat/>
    <w:rsid w:val="00DC61CD"/>
    <w:rPr>
      <w:color w:val="3F88BF"/>
      <w:u w:val="none"/>
    </w:rPr>
  </w:style>
  <w:style w:type="paragraph" w:customStyle="1" w:styleId="3">
    <w:name w:val="样式3"/>
    <w:qFormat/>
    <w:rsid w:val="00DC61CD"/>
    <w:pPr>
      <w:keepNext/>
      <w:keepLines/>
      <w:widowControl w:val="0"/>
      <w:tabs>
        <w:tab w:val="left" w:pos="425"/>
      </w:tabs>
      <w:adjustRightInd w:val="0"/>
      <w:snapToGrid w:val="0"/>
      <w:spacing w:before="340" w:after="330" w:line="300" w:lineRule="auto"/>
      <w:ind w:firstLine="480"/>
      <w:jc w:val="both"/>
      <w:outlineLvl w:val="0"/>
    </w:pPr>
    <w:rPr>
      <w:rFonts w:ascii="Times New Roman" w:hAnsi="Times New Roman"/>
      <w:bCs/>
      <w:sz w:val="24"/>
      <w:szCs w:val="24"/>
    </w:rPr>
  </w:style>
  <w:style w:type="paragraph" w:customStyle="1" w:styleId="2">
    <w:name w:val="样式2"/>
    <w:qFormat/>
    <w:rsid w:val="00DC61CD"/>
    <w:pPr>
      <w:keepNext/>
      <w:keepLines/>
      <w:widowControl w:val="0"/>
      <w:tabs>
        <w:tab w:val="left" w:pos="425"/>
      </w:tabs>
      <w:adjustRightInd w:val="0"/>
      <w:snapToGrid w:val="0"/>
      <w:spacing w:before="340" w:after="330" w:line="300" w:lineRule="auto"/>
      <w:jc w:val="both"/>
      <w:outlineLvl w:val="0"/>
    </w:pPr>
    <w:rPr>
      <w:rFonts w:ascii="Times New Roman" w:hAnsi="Times New Roman"/>
      <w:bCs/>
      <w:sz w:val="24"/>
      <w:szCs w:val="24"/>
    </w:rPr>
  </w:style>
  <w:style w:type="paragraph" w:customStyle="1" w:styleId="10">
    <w:name w:val="样式1"/>
    <w:qFormat/>
    <w:rsid w:val="00DC61CD"/>
    <w:pPr>
      <w:keepNext/>
      <w:keepLines/>
      <w:widowControl w:val="0"/>
      <w:tabs>
        <w:tab w:val="left" w:pos="425"/>
      </w:tabs>
      <w:adjustRightInd w:val="0"/>
      <w:snapToGrid w:val="0"/>
      <w:spacing w:before="340" w:after="330" w:line="300" w:lineRule="auto"/>
      <w:jc w:val="both"/>
      <w:outlineLvl w:val="0"/>
    </w:pPr>
    <w:rPr>
      <w:rFonts w:ascii="Times New Roman" w:eastAsia="楷体" w:hAnsi="Times New Roman"/>
      <w:bCs/>
      <w:kern w:val="44"/>
      <w:sz w:val="24"/>
      <w:szCs w:val="24"/>
    </w:rPr>
  </w:style>
  <w:style w:type="character" w:customStyle="1" w:styleId="Char">
    <w:name w:val="页脚 Char"/>
    <w:basedOn w:val="a0"/>
    <w:link w:val="a3"/>
    <w:uiPriority w:val="99"/>
    <w:rsid w:val="00AD5C6B"/>
    <w:rPr>
      <w:kern w:val="2"/>
      <w:sz w:val="18"/>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lihongjiang</dc:creator>
  <cp:lastModifiedBy>Lenovo</cp:lastModifiedBy>
  <cp:revision>12</cp:revision>
  <dcterms:created xsi:type="dcterms:W3CDTF">2026-07-22T08:38:00Z</dcterms:created>
  <dcterms:modified xsi:type="dcterms:W3CDTF">2026-07-22T10:00:00Z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